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33F2" w14:textId="2B8CD303" w:rsidR="00413FAD" w:rsidRPr="00413FAD" w:rsidRDefault="00413FAD" w:rsidP="00413FAD">
      <w:pPr>
        <w:rPr>
          <w:rFonts w:ascii="Arial" w:eastAsia="Times New Roman" w:hAnsi="Arial" w:cs="Arial"/>
          <w:sz w:val="22"/>
          <w:szCs w:val="22"/>
          <w:bdr w:val="none" w:sz="0" w:space="0" w:color="auto"/>
        </w:rPr>
      </w:pPr>
      <w:r w:rsidRPr="00413FAD">
        <w:rPr>
          <w:rFonts w:ascii="Arial" w:hAnsi="Arial" w:cs="Arial"/>
          <w:sz w:val="22"/>
          <w:szCs w:val="22"/>
        </w:rPr>
        <w:t xml:space="preserve">Copyright </w:t>
      </w:r>
      <w:r w:rsidRPr="00413FAD">
        <w:rPr>
          <w:rFonts w:ascii="Arial" w:eastAsia="Times New Roman" w:hAnsi="Arial" w:cs="Arial"/>
          <w:color w:val="222222"/>
          <w:sz w:val="22"/>
          <w:szCs w:val="22"/>
          <w:bdr w:val="none" w:sz="0" w:space="0" w:color="auto"/>
          <w:shd w:val="clear" w:color="auto" w:fill="FFFFFF"/>
        </w:rPr>
        <w:t>©</w:t>
      </w:r>
      <w:r w:rsidRPr="00413FAD">
        <w:rPr>
          <w:rFonts w:ascii="Arial" w:eastAsia="Times New Roman" w:hAnsi="Arial" w:cs="Arial"/>
          <w:color w:val="222222"/>
          <w:sz w:val="22"/>
          <w:szCs w:val="22"/>
          <w:bdr w:val="none" w:sz="0" w:space="0" w:color="auto"/>
          <w:shd w:val="clear" w:color="auto" w:fill="FFFFFF"/>
        </w:rPr>
        <w:t xml:space="preserve"> 2019 Johns Hopkins University Press and Substance, Inc. This article first appeared in </w:t>
      </w:r>
      <w:proofErr w:type="spellStart"/>
      <w:r w:rsidRPr="00413FAD">
        <w:rPr>
          <w:rFonts w:ascii="Arial" w:eastAsia="Times New Roman" w:hAnsi="Arial" w:cs="Arial"/>
          <w:i/>
          <w:iCs/>
          <w:color w:val="222222"/>
          <w:sz w:val="22"/>
          <w:szCs w:val="22"/>
          <w:bdr w:val="none" w:sz="0" w:space="0" w:color="auto"/>
          <w:shd w:val="clear" w:color="auto" w:fill="FFFFFF"/>
        </w:rPr>
        <w:t>SubStance</w:t>
      </w:r>
      <w:proofErr w:type="spellEnd"/>
      <w:r w:rsidRPr="00413FAD">
        <w:rPr>
          <w:rFonts w:ascii="Arial" w:eastAsia="Times New Roman" w:hAnsi="Arial" w:cs="Arial"/>
          <w:i/>
          <w:iCs/>
          <w:color w:val="222222"/>
          <w:sz w:val="22"/>
          <w:szCs w:val="22"/>
          <w:bdr w:val="none" w:sz="0" w:space="0" w:color="auto"/>
          <w:shd w:val="clear" w:color="auto" w:fill="FFFFFF"/>
        </w:rPr>
        <w:t xml:space="preserve">, </w:t>
      </w:r>
      <w:r w:rsidRPr="00413FAD">
        <w:rPr>
          <w:rFonts w:ascii="Arial" w:eastAsia="Times New Roman" w:hAnsi="Arial" w:cs="Arial"/>
          <w:color w:val="222222"/>
          <w:sz w:val="22"/>
          <w:szCs w:val="22"/>
          <w:bdr w:val="none" w:sz="0" w:space="0" w:color="auto"/>
          <w:shd w:val="clear" w:color="auto" w:fill="FFFFFF"/>
        </w:rPr>
        <w:t xml:space="preserve">Volume 48(2), Issue 149, August, 2019, pp. 3-22, </w:t>
      </w:r>
      <w:hyperlink r:id="rId7" w:history="1">
        <w:r w:rsidRPr="00413FAD">
          <w:rPr>
            <w:rStyle w:val="Hyperlink"/>
            <w:rFonts w:ascii="Arial" w:eastAsia="Times New Roman" w:hAnsi="Arial" w:cs="Arial"/>
            <w:color w:val="1F4F69" w:themeColor="accent1" w:themeShade="80"/>
            <w:sz w:val="22"/>
            <w:szCs w:val="22"/>
            <w:bdr w:val="none" w:sz="0" w:space="0" w:color="auto"/>
            <w:shd w:val="clear" w:color="auto" w:fill="FFFFFF"/>
          </w:rPr>
          <w:t>https://muse.jhu.edu/article/7314</w:t>
        </w:r>
        <w:r w:rsidRPr="00413FAD">
          <w:rPr>
            <w:rStyle w:val="Hyperlink"/>
            <w:rFonts w:ascii="Arial" w:eastAsia="Times New Roman" w:hAnsi="Arial" w:cs="Arial"/>
            <w:color w:val="1F4F69" w:themeColor="accent1" w:themeShade="80"/>
            <w:sz w:val="22"/>
            <w:szCs w:val="22"/>
            <w:bdr w:val="none" w:sz="0" w:space="0" w:color="auto"/>
            <w:shd w:val="clear" w:color="auto" w:fill="FFFFFF"/>
          </w:rPr>
          <w:t>8</w:t>
        </w:r>
        <w:r w:rsidRPr="00413FAD">
          <w:rPr>
            <w:rStyle w:val="Hyperlink"/>
            <w:rFonts w:ascii="Arial" w:eastAsia="Times New Roman" w:hAnsi="Arial" w:cs="Arial"/>
            <w:color w:val="1F4F69" w:themeColor="accent1" w:themeShade="80"/>
            <w:sz w:val="22"/>
            <w:szCs w:val="22"/>
            <w:bdr w:val="none" w:sz="0" w:space="0" w:color="auto"/>
            <w:shd w:val="clear" w:color="auto" w:fill="FFFFFF"/>
          </w:rPr>
          <w:t>5</w:t>
        </w:r>
      </w:hyperlink>
      <w:r w:rsidRPr="00413FAD">
        <w:rPr>
          <w:rFonts w:ascii="Arial" w:eastAsia="Times New Roman" w:hAnsi="Arial" w:cs="Arial"/>
          <w:color w:val="222222"/>
          <w:sz w:val="22"/>
          <w:szCs w:val="22"/>
          <w:bdr w:val="none" w:sz="0" w:space="0" w:color="auto"/>
          <w:shd w:val="clear" w:color="auto" w:fill="FFFFFF"/>
        </w:rPr>
        <w:t xml:space="preserve"> </w:t>
      </w:r>
      <w:bookmarkStart w:id="0" w:name="_GoBack"/>
      <w:bookmarkEnd w:id="0"/>
    </w:p>
    <w:p w14:paraId="10F738C5" w14:textId="6B635678" w:rsidR="00413FAD" w:rsidRDefault="00413FAD">
      <w:pPr>
        <w:pStyle w:val="BodyA"/>
        <w:jc w:val="center"/>
        <w:rPr>
          <w:rFonts w:cs="Times New Roman"/>
          <w:b/>
          <w:bCs/>
        </w:rPr>
      </w:pPr>
    </w:p>
    <w:p w14:paraId="5C8756D6" w14:textId="1119419F" w:rsidR="00FE3DD3" w:rsidRPr="00264045" w:rsidRDefault="004A7C05">
      <w:pPr>
        <w:pStyle w:val="BodyA"/>
        <w:jc w:val="center"/>
        <w:rPr>
          <w:rFonts w:cs="Times New Roman"/>
          <w:b/>
          <w:bCs/>
          <w:i/>
          <w:iCs/>
        </w:rPr>
      </w:pPr>
      <w:r>
        <w:rPr>
          <w:rFonts w:cs="Times New Roman"/>
          <w:b/>
          <w:bCs/>
        </w:rPr>
        <w:t>Life/Force</w:t>
      </w:r>
      <w:r w:rsidR="00C36F8C" w:rsidRPr="00264045">
        <w:rPr>
          <w:rFonts w:cs="Times New Roman"/>
          <w:b/>
          <w:bCs/>
        </w:rPr>
        <w:t xml:space="preserve">: Novelty and New Materialism in Jane Bennett’s </w:t>
      </w:r>
      <w:r w:rsidR="00C36F8C" w:rsidRPr="00264045">
        <w:rPr>
          <w:rFonts w:cs="Times New Roman"/>
          <w:b/>
          <w:bCs/>
          <w:i/>
          <w:iCs/>
        </w:rPr>
        <w:t>Vibrant Matter</w:t>
      </w:r>
    </w:p>
    <w:p w14:paraId="4F1B3891" w14:textId="77777777" w:rsidR="00FE3DD3" w:rsidRPr="00264045" w:rsidRDefault="00FE3DD3">
      <w:pPr>
        <w:pStyle w:val="Body"/>
        <w:spacing w:line="480" w:lineRule="auto"/>
        <w:rPr>
          <w:b/>
          <w:bCs/>
          <w:i/>
          <w:iCs/>
        </w:rPr>
      </w:pPr>
    </w:p>
    <w:p w14:paraId="6255F0EF" w14:textId="77777777" w:rsidR="00FE3DD3" w:rsidRDefault="00C36F8C">
      <w:pPr>
        <w:pStyle w:val="Body"/>
        <w:spacing w:line="480" w:lineRule="auto"/>
        <w:rPr>
          <w:b/>
          <w:bCs/>
        </w:rPr>
      </w:pPr>
      <w:r w:rsidRPr="00264045">
        <w:rPr>
          <w:b/>
          <w:bCs/>
        </w:rPr>
        <w:t>Abstract</w:t>
      </w:r>
    </w:p>
    <w:p w14:paraId="67E97116" w14:textId="59FEEB25" w:rsidR="00C47739" w:rsidRDefault="00C47739" w:rsidP="00C47739">
      <w:pPr>
        <w:pStyle w:val="BodyA"/>
      </w:pPr>
      <w:r>
        <w:t xml:space="preserve">New Materialism and Speculative Realism have obtained their avant-garde status by creating a simple division between their work and a past they characterize as constructivism or </w:t>
      </w:r>
      <w:proofErr w:type="spellStart"/>
      <w:r>
        <w:t>correlationism</w:t>
      </w:r>
      <w:proofErr w:type="spellEnd"/>
      <w:r>
        <w:t xml:space="preserve">. While this satisfies libidinal and market forces that demand novelty, it depends on a chain of dogmatic reversals that remain deconstructible. Jane Bennett’s </w:t>
      </w:r>
      <w:r>
        <w:rPr>
          <w:i/>
          <w:iCs/>
        </w:rPr>
        <w:t>Vibrant Matter</w:t>
      </w:r>
      <w:r>
        <w:t xml:space="preserve"> operates according to </w:t>
      </w:r>
      <w:r w:rsidR="00C00F0A">
        <w:t xml:space="preserve">such </w:t>
      </w:r>
      <w:r>
        <w:t xml:space="preserve">a set of reversals, opposing itself to the </w:t>
      </w:r>
      <w:r w:rsidR="00190D71">
        <w:t xml:space="preserve">(old) </w:t>
      </w:r>
      <w:r>
        <w:t xml:space="preserve">representation of matter as inert and passive by describing matter as free, living, and creative. However, because these affirmations occur as reversals, without a phenomenology or deconstruction of the underlying concepts, a suppression of matter identical to that from the tradition remains in her work. Her dogmatic predications are necessary to uphold the claim of a simple break with the past, but this repression of undecidability renders untenable both matter’s novelty and the novelty of </w:t>
      </w:r>
      <w:r w:rsidR="00DB72F6">
        <w:t xml:space="preserve">any progressivist historical schema, such as that of </w:t>
      </w:r>
      <w:r>
        <w:t>the “New” Materialism.</w:t>
      </w:r>
    </w:p>
    <w:p w14:paraId="6F9F1C10" w14:textId="77777777" w:rsidR="00E92848" w:rsidRPr="00264045" w:rsidRDefault="00E92848">
      <w:pPr>
        <w:pStyle w:val="Body"/>
        <w:spacing w:line="480" w:lineRule="auto"/>
        <w:rPr>
          <w:b/>
          <w:bCs/>
        </w:rPr>
      </w:pPr>
    </w:p>
    <w:p w14:paraId="46047624" w14:textId="77777777" w:rsidR="00FE3DD3" w:rsidRPr="00264045" w:rsidRDefault="00FE3DD3">
      <w:pPr>
        <w:pStyle w:val="Body"/>
        <w:spacing w:line="480" w:lineRule="auto"/>
      </w:pPr>
    </w:p>
    <w:p w14:paraId="3435254F" w14:textId="439B69D6" w:rsidR="00FE3DD3" w:rsidRDefault="00C36F8C">
      <w:pPr>
        <w:pStyle w:val="BodyA"/>
        <w:rPr>
          <w:rFonts w:cs="Times New Roman"/>
        </w:rPr>
      </w:pPr>
      <w:r w:rsidRPr="00264045">
        <w:rPr>
          <w:rFonts w:cs="Times New Roman"/>
        </w:rPr>
        <w:t xml:space="preserve">Among those speaking in the name of materialism, whether speculative, dialectical, or </w:t>
      </w:r>
      <w:r w:rsidR="007B419C">
        <w:rPr>
          <w:rFonts w:cs="Times New Roman"/>
        </w:rPr>
        <w:t>“</w:t>
      </w:r>
      <w:r w:rsidRPr="00264045">
        <w:rPr>
          <w:rFonts w:cs="Times New Roman"/>
        </w:rPr>
        <w:t>new</w:t>
      </w:r>
      <w:r w:rsidR="00FA20A2">
        <w:rPr>
          <w:rFonts w:cs="Times New Roman"/>
        </w:rPr>
        <w:t>,</w:t>
      </w:r>
      <w:r w:rsidR="007B419C">
        <w:rPr>
          <w:rFonts w:cs="Times New Roman"/>
        </w:rPr>
        <w:t>”</w:t>
      </w:r>
      <w:r w:rsidRPr="00264045">
        <w:rPr>
          <w:rFonts w:cs="Times New Roman"/>
        </w:rPr>
        <w:t xml:space="preserve"> it </w:t>
      </w:r>
      <w:r w:rsidR="00EF65A4" w:rsidRPr="00264045">
        <w:rPr>
          <w:rFonts w:cs="Times New Roman"/>
        </w:rPr>
        <w:t>is commonplace</w:t>
      </w:r>
      <w:r w:rsidRPr="00264045">
        <w:rPr>
          <w:rFonts w:cs="Times New Roman"/>
        </w:rPr>
        <w:t xml:space="preserve"> to dismiss with a single gesture a vast field of theoretical and philosophical endeavor, indicated as the last 50 or 250 years of theory and philosophy. Self-styled </w:t>
      </w:r>
      <w:r w:rsidR="007B419C">
        <w:rPr>
          <w:rFonts w:cs="Times New Roman"/>
        </w:rPr>
        <w:t>“</w:t>
      </w:r>
      <w:r w:rsidRPr="00264045">
        <w:rPr>
          <w:rFonts w:cs="Times New Roman"/>
        </w:rPr>
        <w:t>speculative</w:t>
      </w:r>
      <w:r w:rsidR="007B419C">
        <w:rPr>
          <w:rFonts w:cs="Times New Roman"/>
        </w:rPr>
        <w:t>”</w:t>
      </w:r>
      <w:r w:rsidRPr="00264045">
        <w:rPr>
          <w:rFonts w:cs="Times New Roman"/>
        </w:rPr>
        <w:t xml:space="preserve"> writers who would surpass all philosophy since Kant and various New Materialists who sequester decades of thought under the heading of </w:t>
      </w:r>
      <w:r w:rsidR="007B419C">
        <w:rPr>
          <w:rFonts w:cs="Times New Roman"/>
        </w:rPr>
        <w:t>“</w:t>
      </w:r>
      <w:r w:rsidRPr="00264045">
        <w:rPr>
          <w:rFonts w:cs="Times New Roman"/>
        </w:rPr>
        <w:t>constructivism</w:t>
      </w:r>
      <w:r w:rsidR="007B419C">
        <w:rPr>
          <w:rFonts w:cs="Times New Roman"/>
        </w:rPr>
        <w:t>”</w:t>
      </w:r>
      <w:r w:rsidRPr="00264045">
        <w:rPr>
          <w:rFonts w:cs="Times New Roman"/>
        </w:rPr>
        <w:t xml:space="preserve"> </w:t>
      </w:r>
      <w:r w:rsidR="003E5752" w:rsidRPr="00264045">
        <w:rPr>
          <w:rFonts w:cs="Times New Roman"/>
        </w:rPr>
        <w:t>manufacture</w:t>
      </w:r>
      <w:r w:rsidRPr="00264045">
        <w:rPr>
          <w:rFonts w:cs="Times New Roman"/>
        </w:rPr>
        <w:t xml:space="preserve"> the avant-</w:t>
      </w:r>
      <w:r w:rsidRPr="00264045">
        <w:rPr>
          <w:rFonts w:cs="Times New Roman"/>
        </w:rPr>
        <w:lastRenderedPageBreak/>
        <w:t xml:space="preserve">garde status of their own work by claiming to delineate a simple break with the past. We would be at a loss, and perhaps at risk of missing the point, if we sought to uncover the common essence underlying this </w:t>
      </w:r>
      <w:r w:rsidR="007B419C">
        <w:rPr>
          <w:rFonts w:cs="Times New Roman"/>
        </w:rPr>
        <w:t>“</w:t>
      </w:r>
      <w:r w:rsidRPr="00264045">
        <w:rPr>
          <w:rFonts w:cs="Times New Roman"/>
        </w:rPr>
        <w:t>new</w:t>
      </w:r>
      <w:r w:rsidR="007B419C">
        <w:rPr>
          <w:rFonts w:cs="Times New Roman"/>
        </w:rPr>
        <w:t>”</w:t>
      </w:r>
      <w:r w:rsidRPr="00264045">
        <w:rPr>
          <w:rFonts w:cs="Times New Roman"/>
        </w:rPr>
        <w:t xml:space="preserve"> work, either by looking for an agreement about exactly which authors belong in the hastily sketched corral and on what grounds, or a philosophical accord about the putative outside being sought. </w:t>
      </w:r>
      <w:r w:rsidR="00711C42">
        <w:rPr>
          <w:rFonts w:cs="Times New Roman"/>
        </w:rPr>
        <w:t>Because there is always difference within a text, no work will ever fit comfortably on either side of these divisions; for this reason, rather than seeing this gesture as the diagnosis of a correlation</w:t>
      </w:r>
      <w:r w:rsidR="00826E8A">
        <w:rPr>
          <w:rFonts w:cs="Times New Roman"/>
        </w:rPr>
        <w:t xml:space="preserve"> (in the other)</w:t>
      </w:r>
      <w:r w:rsidR="00711C42">
        <w:rPr>
          <w:rFonts w:cs="Times New Roman"/>
        </w:rPr>
        <w:t>, I find it more apt to read it as the imposition of a corral</w:t>
      </w:r>
      <w:r w:rsidR="00826E8A">
        <w:rPr>
          <w:rFonts w:cs="Times New Roman"/>
        </w:rPr>
        <w:t>, a</w:t>
      </w:r>
      <w:r w:rsidR="00711C42">
        <w:rPr>
          <w:rFonts w:cs="Times New Roman"/>
        </w:rPr>
        <w:t xml:space="preserve"> </w:t>
      </w:r>
      <w:r w:rsidR="00711C42">
        <w:rPr>
          <w:rFonts w:cs="Times New Roman"/>
          <w:i/>
        </w:rPr>
        <w:t>corr</w:t>
      </w:r>
      <w:r w:rsidR="00E74CF3">
        <w:rPr>
          <w:rFonts w:cs="Times New Roman"/>
          <w:i/>
        </w:rPr>
        <w:t>a</w:t>
      </w:r>
      <w:r w:rsidR="00711C42">
        <w:rPr>
          <w:rFonts w:cs="Times New Roman"/>
          <w:i/>
        </w:rPr>
        <w:t>lation</w:t>
      </w:r>
      <w:r w:rsidR="00711C42">
        <w:rPr>
          <w:rFonts w:cs="Times New Roman"/>
        </w:rPr>
        <w:t>.</w:t>
      </w:r>
      <w:r w:rsidR="00292878" w:rsidRPr="00264045">
        <w:rPr>
          <w:rStyle w:val="EndnoteReference"/>
          <w:rFonts w:cs="Times New Roman"/>
        </w:rPr>
        <w:endnoteReference w:id="2"/>
      </w:r>
      <w:r w:rsidR="00711C42">
        <w:rPr>
          <w:rFonts w:cs="Times New Roman"/>
        </w:rPr>
        <w:t xml:space="preserve"> </w:t>
      </w:r>
      <w:r w:rsidR="00EF65A4" w:rsidRPr="00264045">
        <w:rPr>
          <w:rFonts w:cs="Times New Roman"/>
        </w:rPr>
        <w:t>In work that purports to challenge the autonomy of the conscious human subject</w:t>
      </w:r>
      <w:r w:rsidRPr="00264045">
        <w:rPr>
          <w:rFonts w:cs="Times New Roman"/>
        </w:rPr>
        <w:t>,</w:t>
      </w:r>
      <w:r w:rsidR="00EF65A4" w:rsidRPr="00264045">
        <w:rPr>
          <w:rFonts w:cs="Times New Roman"/>
        </w:rPr>
        <w:t xml:space="preserve"> to find our agency constantly shot through with the agency o</w:t>
      </w:r>
      <w:r w:rsidR="00C90DDE" w:rsidRPr="00264045">
        <w:rPr>
          <w:rFonts w:cs="Times New Roman"/>
        </w:rPr>
        <w:t>f matter, the most traditional notions of history as linear progress and autonomous decision reassert themselves in the form of this corralation.</w:t>
      </w:r>
      <w:r w:rsidR="00B92F6A" w:rsidRPr="00264045">
        <w:rPr>
          <w:rFonts w:cs="Times New Roman"/>
        </w:rPr>
        <w:t xml:space="preserve"> The very concept of novelty at work in the formation of this field or intellectual movement fundamentally </w:t>
      </w:r>
      <w:r w:rsidR="000E2ED8" w:rsidRPr="00264045">
        <w:rPr>
          <w:rFonts w:cs="Times New Roman"/>
        </w:rPr>
        <w:t>compromises</w:t>
      </w:r>
      <w:r w:rsidR="00BC61E5" w:rsidRPr="00264045">
        <w:rPr>
          <w:rFonts w:cs="Times New Roman"/>
        </w:rPr>
        <w:t xml:space="preserve"> its anti-humanist project</w:t>
      </w:r>
      <w:r w:rsidRPr="00264045">
        <w:rPr>
          <w:rFonts w:cs="Times New Roman"/>
        </w:rPr>
        <w:t>.</w:t>
      </w:r>
    </w:p>
    <w:p w14:paraId="3C38160D" w14:textId="29A2FFCB" w:rsidR="002C1EAE" w:rsidRDefault="002C1EAE">
      <w:pPr>
        <w:pStyle w:val="BodyA"/>
        <w:rPr>
          <w:rFonts w:cs="Times New Roman"/>
        </w:rPr>
      </w:pPr>
      <w:r>
        <w:rPr>
          <w:rFonts w:cs="Times New Roman"/>
        </w:rPr>
        <w:tab/>
      </w:r>
      <w:r w:rsidR="00EE0966">
        <w:rPr>
          <w:rFonts w:cs="Times New Roman"/>
        </w:rPr>
        <w:t>The commonalities that can be identified among</w:t>
      </w:r>
      <w:r>
        <w:rPr>
          <w:rFonts w:cs="Times New Roman"/>
        </w:rPr>
        <w:t xml:space="preserve"> these disparate </w:t>
      </w:r>
      <w:r w:rsidR="00594EB7">
        <w:rPr>
          <w:rFonts w:cs="Times New Roman"/>
        </w:rPr>
        <w:t>studies</w:t>
      </w:r>
      <w:r w:rsidR="00F30E87">
        <w:rPr>
          <w:rFonts w:cs="Times New Roman"/>
        </w:rPr>
        <w:t xml:space="preserve"> often</w:t>
      </w:r>
      <w:r>
        <w:rPr>
          <w:rFonts w:cs="Times New Roman"/>
        </w:rPr>
        <w:t xml:space="preserve"> reside</w:t>
      </w:r>
      <w:r w:rsidR="00533C70">
        <w:rPr>
          <w:rFonts w:cs="Times New Roman"/>
        </w:rPr>
        <w:t xml:space="preserve"> </w:t>
      </w:r>
      <w:r>
        <w:rPr>
          <w:rFonts w:cs="Times New Roman"/>
        </w:rPr>
        <w:t xml:space="preserve">in </w:t>
      </w:r>
      <w:r w:rsidR="00B55875">
        <w:rPr>
          <w:rFonts w:cs="Times New Roman"/>
        </w:rPr>
        <w:t xml:space="preserve">their </w:t>
      </w:r>
      <w:r>
        <w:rPr>
          <w:rFonts w:cs="Times New Roman"/>
        </w:rPr>
        <w:t xml:space="preserve">unstated presuppositions. </w:t>
      </w:r>
      <w:r w:rsidR="00594EB7">
        <w:rPr>
          <w:rFonts w:cs="Times New Roman"/>
        </w:rPr>
        <w:t xml:space="preserve">The more we would like to celebrate matter and submit ourselves to its power, the more we must, in an ironic and auto-immune fashion, </w:t>
      </w:r>
      <w:r w:rsidR="00FA30DD">
        <w:rPr>
          <w:rFonts w:cs="Times New Roman"/>
        </w:rPr>
        <w:t>exaggerate</w:t>
      </w:r>
      <w:r w:rsidR="00594EB7">
        <w:rPr>
          <w:rFonts w:cs="Times New Roman"/>
        </w:rPr>
        <w:t xml:space="preserve"> our own knowledge</w:t>
      </w:r>
      <w:r w:rsidR="00537BD6">
        <w:rPr>
          <w:rFonts w:cs="Times New Roman"/>
        </w:rPr>
        <w:t xml:space="preserve"> of it</w:t>
      </w:r>
      <w:r w:rsidR="00594EB7">
        <w:rPr>
          <w:rFonts w:cs="Times New Roman"/>
        </w:rPr>
        <w:t xml:space="preserve">. We cannot claim to attribute agency and freedom to matter, or even </w:t>
      </w:r>
      <w:r w:rsidR="008470C6">
        <w:rPr>
          <w:rFonts w:cs="Times New Roman"/>
        </w:rPr>
        <w:t>to know what counts as a material thing</w:t>
      </w:r>
      <w:r w:rsidR="00594EB7">
        <w:rPr>
          <w:rFonts w:cs="Times New Roman"/>
        </w:rPr>
        <w:t xml:space="preserve">, unless we have imagined that the science, language, tradition, history, discourse, thought, etc. by which we know and describe matter is an absolute knowledge </w:t>
      </w:r>
      <w:r w:rsidR="006668CA">
        <w:rPr>
          <w:rFonts w:cs="Times New Roman"/>
        </w:rPr>
        <w:t xml:space="preserve">or </w:t>
      </w:r>
      <w:r w:rsidR="00594EB7">
        <w:rPr>
          <w:rFonts w:cs="Times New Roman"/>
        </w:rPr>
        <w:t>transparent revelation of its being.</w:t>
      </w:r>
      <w:r w:rsidR="00A77788">
        <w:rPr>
          <w:rFonts w:cs="Times New Roman"/>
        </w:rPr>
        <w:t xml:space="preserve"> If we place in question our own </w:t>
      </w:r>
      <w:proofErr w:type="gramStart"/>
      <w:r w:rsidR="00A77788">
        <w:rPr>
          <w:rFonts w:cs="Times New Roman"/>
        </w:rPr>
        <w:t>authority, and</w:t>
      </w:r>
      <w:proofErr w:type="gramEnd"/>
      <w:r w:rsidR="00A77788">
        <w:rPr>
          <w:rFonts w:cs="Times New Roman"/>
        </w:rPr>
        <w:t xml:space="preserve"> acknowledge the possibility that what we call “matter” and what we know of it is not necessarily or necessarily not matter “itself</w:t>
      </w:r>
      <w:r w:rsidR="00DD18C0">
        <w:rPr>
          <w:rFonts w:cs="Times New Roman"/>
        </w:rPr>
        <w:t>,</w:t>
      </w:r>
      <w:r w:rsidR="00A77788">
        <w:rPr>
          <w:rFonts w:cs="Times New Roman"/>
        </w:rPr>
        <w:t xml:space="preserve">” then we have complicated the possibility </w:t>
      </w:r>
      <w:r w:rsidR="00DD18C0">
        <w:rPr>
          <w:rFonts w:cs="Times New Roman"/>
        </w:rPr>
        <w:t>of granting it</w:t>
      </w:r>
      <w:r w:rsidR="00A77788">
        <w:rPr>
          <w:rFonts w:cs="Times New Roman"/>
        </w:rPr>
        <w:t xml:space="preserve"> agency over ourselves. Which is not to claim that thinking, discourse, or even science comes first, but rather that there is a non-</w:t>
      </w:r>
      <w:proofErr w:type="spellStart"/>
      <w:r w:rsidR="00A77788">
        <w:rPr>
          <w:rFonts w:cs="Times New Roman"/>
        </w:rPr>
        <w:t>masterable</w:t>
      </w:r>
      <w:proofErr w:type="spellEnd"/>
      <w:r w:rsidR="00A77788">
        <w:rPr>
          <w:rFonts w:cs="Times New Roman"/>
        </w:rPr>
        <w:t xml:space="preserve"> differance at the origin, that no matter where we look we </w:t>
      </w:r>
      <w:r w:rsidR="00A77788">
        <w:rPr>
          <w:rFonts w:cs="Times New Roman"/>
        </w:rPr>
        <w:lastRenderedPageBreak/>
        <w:t>will find something divided in itself</w:t>
      </w:r>
      <w:r w:rsidR="004522B6">
        <w:rPr>
          <w:rFonts w:cs="Times New Roman"/>
        </w:rPr>
        <w:t xml:space="preserve"> (as matter-thought, </w:t>
      </w:r>
      <w:r w:rsidR="00DD18C0">
        <w:rPr>
          <w:rFonts w:cs="Times New Roman"/>
        </w:rPr>
        <w:t>and</w:t>
      </w:r>
      <w:r w:rsidR="004522B6">
        <w:rPr>
          <w:rFonts w:cs="Times New Roman"/>
        </w:rPr>
        <w:t xml:space="preserve"> as so many other differences besides)</w:t>
      </w:r>
      <w:r w:rsidR="00A77788">
        <w:rPr>
          <w:rFonts w:cs="Times New Roman"/>
        </w:rPr>
        <w:t xml:space="preserve">. We have no name for </w:t>
      </w:r>
      <w:r w:rsidR="00B55875">
        <w:rPr>
          <w:rFonts w:cs="Times New Roman"/>
        </w:rPr>
        <w:t>the</w:t>
      </w:r>
      <w:r w:rsidR="00A77788">
        <w:rPr>
          <w:rFonts w:cs="Times New Roman"/>
        </w:rPr>
        <w:t xml:space="preserve"> other matter that </w:t>
      </w:r>
      <w:r w:rsidR="00EC5BE5">
        <w:rPr>
          <w:rFonts w:cs="Times New Roman"/>
        </w:rPr>
        <w:t xml:space="preserve">would </w:t>
      </w:r>
      <w:r w:rsidR="00A77788">
        <w:rPr>
          <w:rFonts w:cs="Times New Roman"/>
        </w:rPr>
        <w:t xml:space="preserve">subvert our categories and subject us to its </w:t>
      </w:r>
      <w:proofErr w:type="spellStart"/>
      <w:r w:rsidR="00A77788">
        <w:rPr>
          <w:rFonts w:cs="Times New Roman"/>
        </w:rPr>
        <w:t>unanticipatability</w:t>
      </w:r>
      <w:proofErr w:type="spellEnd"/>
      <w:r w:rsidR="00A77788">
        <w:rPr>
          <w:rFonts w:cs="Times New Roman"/>
        </w:rPr>
        <w:t xml:space="preserve">, and we take the greatest risk when we allow the discourse of science to occupy its place. </w:t>
      </w:r>
      <w:r w:rsidR="00E97C30">
        <w:rPr>
          <w:rFonts w:cs="Times New Roman"/>
        </w:rPr>
        <w:t xml:space="preserve">If we imagine that science gives us things as they are in themselves, immediately, we deprive ourselves of any reason or responsibility for questioning the constructions of science—though we </w:t>
      </w:r>
      <w:r w:rsidR="00533C70">
        <w:rPr>
          <w:rFonts w:cs="Times New Roman"/>
        </w:rPr>
        <w:t>ought to</w:t>
      </w:r>
      <w:r w:rsidR="00E97C30">
        <w:rPr>
          <w:rFonts w:cs="Times New Roman"/>
        </w:rPr>
        <w:t xml:space="preserve"> know that they often </w:t>
      </w:r>
      <w:proofErr w:type="spellStart"/>
      <w:r w:rsidR="00E97C30">
        <w:rPr>
          <w:rFonts w:cs="Times New Roman"/>
        </w:rPr>
        <w:t>reinscribe</w:t>
      </w:r>
      <w:proofErr w:type="spellEnd"/>
      <w:r w:rsidR="00E97C30">
        <w:rPr>
          <w:rFonts w:cs="Times New Roman"/>
        </w:rPr>
        <w:t xml:space="preserve"> the prejudices and violence of our culture within </w:t>
      </w:r>
      <w:proofErr w:type="gramStart"/>
      <w:r w:rsidR="00E97C30">
        <w:rPr>
          <w:rFonts w:cs="Times New Roman"/>
        </w:rPr>
        <w:t>themselves, and</w:t>
      </w:r>
      <w:proofErr w:type="gramEnd"/>
      <w:r w:rsidR="00E97C30">
        <w:rPr>
          <w:rFonts w:cs="Times New Roman"/>
        </w:rPr>
        <w:t xml:space="preserve"> call for vigilant </w:t>
      </w:r>
      <w:r w:rsidR="006E7217">
        <w:rPr>
          <w:rFonts w:cs="Times New Roman"/>
        </w:rPr>
        <w:t>contestations</w:t>
      </w:r>
      <w:r w:rsidR="00E97C30">
        <w:rPr>
          <w:rFonts w:cs="Times New Roman"/>
        </w:rPr>
        <w:t>.</w:t>
      </w:r>
    </w:p>
    <w:p w14:paraId="4C9CC932" w14:textId="51C528AD" w:rsidR="0009104C" w:rsidRDefault="009817B2">
      <w:pPr>
        <w:pStyle w:val="BodyA"/>
        <w:rPr>
          <w:rFonts w:cs="Times New Roman"/>
        </w:rPr>
      </w:pPr>
      <w:r>
        <w:rPr>
          <w:rFonts w:cs="Times New Roman"/>
        </w:rPr>
        <w:tab/>
      </w:r>
      <w:r w:rsidR="004E0875">
        <w:rPr>
          <w:rFonts w:cs="Times New Roman"/>
        </w:rPr>
        <w:t>This</w:t>
      </w:r>
      <w:r w:rsidR="00CA3C1E">
        <w:rPr>
          <w:rFonts w:cs="Times New Roman"/>
        </w:rPr>
        <w:t xml:space="preserve"> refusal to acknowledge matter as differance, which often takes the form of immediate sense certainty or an</w:t>
      </w:r>
      <w:r w:rsidR="004E0875">
        <w:rPr>
          <w:rFonts w:cs="Times New Roman"/>
        </w:rPr>
        <w:t xml:space="preserve"> unquestioned privilege of science, taking what it says of matter to be matter itself, could be exhibited in the work of any number of speculative realist or new materialist writers, even in discourses that </w:t>
      </w:r>
      <w:r w:rsidR="00EF76A9">
        <w:rPr>
          <w:rFonts w:cs="Times New Roman"/>
        </w:rPr>
        <w:t xml:space="preserve">at </w:t>
      </w:r>
      <w:r w:rsidR="007F4B8D">
        <w:rPr>
          <w:rFonts w:cs="Times New Roman"/>
        </w:rPr>
        <w:t>other points</w:t>
      </w:r>
      <w:r w:rsidR="004E0875">
        <w:rPr>
          <w:rFonts w:cs="Times New Roman"/>
        </w:rPr>
        <w:t xml:space="preserve"> acknowledge science’s limits. A comprehensive reading along these lines of Meillassoux, Grosz, </w:t>
      </w:r>
      <w:proofErr w:type="spellStart"/>
      <w:r w:rsidR="004E0875">
        <w:rPr>
          <w:rFonts w:cs="Times New Roman"/>
        </w:rPr>
        <w:t>Malabou</w:t>
      </w:r>
      <w:proofErr w:type="spellEnd"/>
      <w:r w:rsidR="004E0875">
        <w:rPr>
          <w:rFonts w:cs="Times New Roman"/>
        </w:rPr>
        <w:t>, Barad, and others will have to be undertaken elsewhere.</w:t>
      </w:r>
      <w:r w:rsidR="00B73DC8">
        <w:rPr>
          <w:rStyle w:val="EndnoteReference"/>
          <w:rFonts w:cs="Times New Roman"/>
        </w:rPr>
        <w:endnoteReference w:id="3"/>
      </w:r>
      <w:r w:rsidR="004E0875">
        <w:rPr>
          <w:rFonts w:cs="Times New Roman"/>
        </w:rPr>
        <w:t xml:space="preserve"> </w:t>
      </w:r>
      <w:r w:rsidR="007820EA">
        <w:rPr>
          <w:rFonts w:cs="Times New Roman"/>
        </w:rPr>
        <w:t>When</w:t>
      </w:r>
      <w:r w:rsidR="006C21FF">
        <w:rPr>
          <w:rFonts w:cs="Times New Roman"/>
        </w:rPr>
        <w:t xml:space="preserve"> placing in question this absolutization of science, one should not ignore the external necessity that is often invoked to justify these discourses</w:t>
      </w:r>
      <w:r w:rsidR="008A42B6">
        <w:rPr>
          <w:rFonts w:cs="Times New Roman"/>
        </w:rPr>
        <w:t xml:space="preserve"> and </w:t>
      </w:r>
      <w:r w:rsidR="006C21FF">
        <w:rPr>
          <w:rFonts w:cs="Times New Roman"/>
        </w:rPr>
        <w:t xml:space="preserve">their urgency. </w:t>
      </w:r>
      <w:r w:rsidR="000A138E">
        <w:rPr>
          <w:rFonts w:cs="Times New Roman"/>
        </w:rPr>
        <w:t xml:space="preserve">A climate catastrophe is imminent, and </w:t>
      </w:r>
      <w:r w:rsidR="005911F2">
        <w:rPr>
          <w:rFonts w:cs="Times New Roman"/>
        </w:rPr>
        <w:t xml:space="preserve">those who abnegate responsibility for protecting our planet and the life it harbors often challenge </w:t>
      </w:r>
      <w:r w:rsidR="000A138E">
        <w:rPr>
          <w:rFonts w:cs="Times New Roman"/>
        </w:rPr>
        <w:t xml:space="preserve">the authority of science. </w:t>
      </w:r>
      <w:r w:rsidR="000C6996">
        <w:rPr>
          <w:rFonts w:cs="Times New Roman"/>
        </w:rPr>
        <w:t xml:space="preserve">Our response should never be to pretend that science is absolute (which science? </w:t>
      </w:r>
      <w:r w:rsidR="00B512B7">
        <w:rPr>
          <w:rFonts w:cs="Times New Roman"/>
        </w:rPr>
        <w:t>On what grounds</w:t>
      </w:r>
      <w:r w:rsidR="000C6996">
        <w:rPr>
          <w:rFonts w:cs="Times New Roman"/>
        </w:rPr>
        <w:t xml:space="preserve">?), as if one ever did so without first making a decision as to what would count as science. </w:t>
      </w:r>
      <w:r w:rsidR="009F508D">
        <w:rPr>
          <w:rFonts w:cs="Times New Roman"/>
        </w:rPr>
        <w:t xml:space="preserve">Such a pretense will always risk justifying the </w:t>
      </w:r>
      <w:r w:rsidR="007F5636">
        <w:rPr>
          <w:rFonts w:cs="Times New Roman"/>
        </w:rPr>
        <w:t>unjustifiable</w:t>
      </w:r>
      <w:r w:rsidR="009F508D">
        <w:rPr>
          <w:rFonts w:cs="Times New Roman"/>
        </w:rPr>
        <w:t>—the name of science and its apparatus for validation will always be a double-edged sword</w:t>
      </w:r>
      <w:r w:rsidR="007F5636">
        <w:rPr>
          <w:rFonts w:cs="Times New Roman"/>
        </w:rPr>
        <w:t>, invoked in defense of the best and the worst</w:t>
      </w:r>
      <w:r w:rsidR="009F508D">
        <w:rPr>
          <w:rFonts w:cs="Times New Roman"/>
        </w:rPr>
        <w:t>.</w:t>
      </w:r>
      <w:r w:rsidR="00A61986">
        <w:rPr>
          <w:rFonts w:cs="Times New Roman"/>
        </w:rPr>
        <w:t xml:space="preserve"> Our ethical responsibility in this and every moment is more complicated than simply picking a side for or against “science”</w:t>
      </w:r>
      <w:r w:rsidR="00B758C2">
        <w:rPr>
          <w:rFonts w:cs="Times New Roman"/>
        </w:rPr>
        <w:t xml:space="preserve"> or “matter.”</w:t>
      </w:r>
    </w:p>
    <w:p w14:paraId="24E27AFA" w14:textId="1C312DF6" w:rsidR="00FE3DD3" w:rsidRPr="00264045" w:rsidRDefault="00C36F8C" w:rsidP="00257706">
      <w:pPr>
        <w:pStyle w:val="BodyA"/>
        <w:rPr>
          <w:rFonts w:cs="Times New Roman"/>
        </w:rPr>
      </w:pPr>
      <w:r w:rsidRPr="00264045">
        <w:rPr>
          <w:rFonts w:cs="Times New Roman"/>
        </w:rPr>
        <w:lastRenderedPageBreak/>
        <w:tab/>
      </w:r>
      <w:r w:rsidR="006B7E2A">
        <w:rPr>
          <w:rFonts w:cs="Times New Roman"/>
        </w:rPr>
        <w:t xml:space="preserve">It would not be possible to interrogate </w:t>
      </w:r>
      <w:r w:rsidR="00866C9B">
        <w:rPr>
          <w:rFonts w:cs="Times New Roman"/>
        </w:rPr>
        <w:t>all of New Materialism</w:t>
      </w:r>
      <w:r w:rsidR="006B7E2A">
        <w:rPr>
          <w:rFonts w:cs="Times New Roman"/>
        </w:rPr>
        <w:t xml:space="preserve"> at once, because precisely what is needed is not one-sided position taking but a course of reading that discovers difference in the same. My subject here will be </w:t>
      </w:r>
      <w:r w:rsidRPr="00264045">
        <w:rPr>
          <w:rFonts w:cs="Times New Roman"/>
        </w:rPr>
        <w:t xml:space="preserve">Jane Bennett’s </w:t>
      </w:r>
      <w:r w:rsidR="004F052A" w:rsidRPr="00264045">
        <w:rPr>
          <w:rFonts w:cs="Times New Roman"/>
          <w:i/>
          <w:iCs/>
        </w:rPr>
        <w:t>Vibrant Matter</w:t>
      </w:r>
      <w:r w:rsidR="006B7E2A">
        <w:rPr>
          <w:rFonts w:cs="Times New Roman"/>
        </w:rPr>
        <w:t>, because it</w:t>
      </w:r>
      <w:r w:rsidR="004F052A" w:rsidRPr="00264045">
        <w:rPr>
          <w:rFonts w:cs="Times New Roman"/>
          <w:i/>
          <w:iCs/>
        </w:rPr>
        <w:t xml:space="preserve"> </w:t>
      </w:r>
      <w:r w:rsidR="004F052A" w:rsidRPr="00264045">
        <w:rPr>
          <w:rFonts w:cs="Times New Roman"/>
          <w:iCs/>
        </w:rPr>
        <w:t xml:space="preserve">offers a symptomatic example of how the corralationist effort to advance beyond past work produces </w:t>
      </w:r>
      <w:r w:rsidR="00D9426D">
        <w:rPr>
          <w:rFonts w:cs="Times New Roman"/>
          <w:iCs/>
        </w:rPr>
        <w:t>skewed</w:t>
      </w:r>
      <w:r w:rsidR="004F052A" w:rsidRPr="00264045">
        <w:rPr>
          <w:rFonts w:cs="Times New Roman"/>
          <w:iCs/>
        </w:rPr>
        <w:t xml:space="preserve"> readings of that past and of the scientific or natural phenomena supposed to escape it. </w:t>
      </w:r>
      <w:r w:rsidR="004F052A" w:rsidRPr="00264045">
        <w:rPr>
          <w:rFonts w:cs="Times New Roman"/>
        </w:rPr>
        <w:t>S</w:t>
      </w:r>
      <w:r w:rsidRPr="00264045">
        <w:rPr>
          <w:rFonts w:cs="Times New Roman"/>
        </w:rPr>
        <w:t xml:space="preserve">he </w:t>
      </w:r>
      <w:r w:rsidR="004F052A" w:rsidRPr="00264045">
        <w:rPr>
          <w:rFonts w:cs="Times New Roman"/>
        </w:rPr>
        <w:t>justifies</w:t>
      </w:r>
      <w:r w:rsidRPr="00264045">
        <w:rPr>
          <w:rFonts w:cs="Times New Roman"/>
        </w:rPr>
        <w:t xml:space="preserve"> her </w:t>
      </w:r>
      <w:r w:rsidR="004F052A" w:rsidRPr="00264045">
        <w:rPr>
          <w:rFonts w:cs="Times New Roman"/>
        </w:rPr>
        <w:t xml:space="preserve">own work by </w:t>
      </w:r>
      <w:r w:rsidR="00E1771A" w:rsidRPr="00264045">
        <w:rPr>
          <w:rFonts w:cs="Times New Roman"/>
        </w:rPr>
        <w:t>corralling</w:t>
      </w:r>
      <w:r w:rsidR="00D70980" w:rsidRPr="00264045">
        <w:rPr>
          <w:rFonts w:cs="Times New Roman"/>
        </w:rPr>
        <w:t xml:space="preserve"> the </w:t>
      </w:r>
      <w:r w:rsidR="007B419C">
        <w:rPr>
          <w:rFonts w:cs="Times New Roman"/>
        </w:rPr>
        <w:t>“</w:t>
      </w:r>
      <w:r w:rsidR="00D70980" w:rsidRPr="00264045">
        <w:rPr>
          <w:rFonts w:cs="Times New Roman"/>
        </w:rPr>
        <w:t>social constructivists</w:t>
      </w:r>
      <w:r w:rsidR="00A81F5E">
        <w:rPr>
          <w:rFonts w:cs="Times New Roman"/>
        </w:rPr>
        <w:t>:</w:t>
      </w:r>
      <w:r w:rsidR="007B419C">
        <w:rPr>
          <w:rFonts w:cs="Times New Roman"/>
        </w:rPr>
        <w:t>”</w:t>
      </w:r>
      <w:r w:rsidRPr="00264045">
        <w:rPr>
          <w:rFonts w:cs="Times New Roman"/>
        </w:rPr>
        <w:t xml:space="preserve"> </w:t>
      </w:r>
    </w:p>
    <w:p w14:paraId="1F9490D4" w14:textId="77777777" w:rsidR="00FE3DD3" w:rsidRPr="00264045" w:rsidRDefault="00C36F8C" w:rsidP="00206698">
      <w:pPr>
        <w:pStyle w:val="quotation"/>
        <w:rPr>
          <w:rFonts w:cs="Times New Roman"/>
        </w:rPr>
      </w:pPr>
      <w:r w:rsidRPr="00264045">
        <w:rPr>
          <w:rFonts w:cs="Times New Roman"/>
        </w:rPr>
        <w:t>What is at stake for political and ethical life (in North America?) in the fight against systems</w:t>
      </w:r>
      <w:r w:rsidR="00206698">
        <w:rPr>
          <w:rFonts w:cs="Times New Roman"/>
        </w:rPr>
        <w:t>—</w:t>
      </w:r>
      <w:r w:rsidRPr="00264045">
        <w:rPr>
          <w:rFonts w:cs="Times New Roman"/>
        </w:rPr>
        <w:t>or process</w:t>
      </w:r>
      <w:r w:rsidR="00206698">
        <w:rPr>
          <w:rFonts w:cs="Times New Roman"/>
        </w:rPr>
        <w:t>—</w:t>
      </w:r>
      <w:r w:rsidRPr="00264045">
        <w:rPr>
          <w:rFonts w:cs="Times New Roman"/>
        </w:rPr>
        <w:t>theories, especially since all the parties share a critique of linguistic and social constructivism? Since, that is, all parties see the nonhuman turn as a response to an overconfidence about human power that was embedded in the postmodernism of the 1980s and 1990s?</w:t>
      </w:r>
      <w:r w:rsidR="00A81F5E" w:rsidRPr="00264045">
        <w:rPr>
          <w:rFonts w:cs="Times New Roman"/>
          <w:vertAlign w:val="superscript"/>
        </w:rPr>
        <w:endnoteReference w:id="4"/>
      </w:r>
      <w:r w:rsidRPr="00264045">
        <w:rPr>
          <w:rFonts w:cs="Times New Roman"/>
        </w:rPr>
        <w:t xml:space="preserve"> (Bennett,</w:t>
      </w:r>
      <w:r w:rsidR="00186636">
        <w:rPr>
          <w:rFonts w:cs="Times New Roman"/>
        </w:rPr>
        <w:t xml:space="preserve"> “Ontology”</w:t>
      </w:r>
      <w:r w:rsidRPr="00264045">
        <w:rPr>
          <w:rFonts w:cs="Times New Roman"/>
        </w:rPr>
        <w:t xml:space="preserve"> 227) </w:t>
      </w:r>
    </w:p>
    <w:p w14:paraId="2184DDD9" w14:textId="2508C347" w:rsidR="00FE3DD3" w:rsidRPr="00264045" w:rsidRDefault="0035736F">
      <w:pPr>
        <w:pStyle w:val="BodyA"/>
        <w:rPr>
          <w:rFonts w:cs="Times New Roman"/>
        </w:rPr>
      </w:pPr>
      <w:r w:rsidRPr="00264045">
        <w:rPr>
          <w:rFonts w:cs="Times New Roman"/>
        </w:rPr>
        <w:t xml:space="preserve">This </w:t>
      </w:r>
      <w:proofErr w:type="spellStart"/>
      <w:r w:rsidRPr="00264045">
        <w:rPr>
          <w:rFonts w:cs="Times New Roman"/>
        </w:rPr>
        <w:t>corralationism</w:t>
      </w:r>
      <w:proofErr w:type="spellEnd"/>
      <w:r w:rsidRPr="00264045">
        <w:rPr>
          <w:rFonts w:cs="Times New Roman"/>
        </w:rPr>
        <w:t xml:space="preserve"> dictates the fundamental gesture of her work</w:t>
      </w:r>
      <w:r w:rsidR="00C36F8C" w:rsidRPr="00264045">
        <w:rPr>
          <w:rFonts w:cs="Times New Roman"/>
        </w:rPr>
        <w:t xml:space="preserve">, </w:t>
      </w:r>
      <w:r w:rsidR="002129F7">
        <w:rPr>
          <w:rFonts w:cs="Times New Roman"/>
        </w:rPr>
        <w:t>the reversal of</w:t>
      </w:r>
      <w:r w:rsidRPr="00264045">
        <w:rPr>
          <w:rFonts w:cs="Times New Roman"/>
        </w:rPr>
        <w:t xml:space="preserve"> the </w:t>
      </w:r>
      <w:r w:rsidR="004856F5">
        <w:rPr>
          <w:rFonts w:cs="Times New Roman"/>
        </w:rPr>
        <w:t>classical</w:t>
      </w:r>
      <w:r w:rsidRPr="00264045">
        <w:rPr>
          <w:rFonts w:cs="Times New Roman"/>
        </w:rPr>
        <w:t xml:space="preserve"> binaries that defined </w:t>
      </w:r>
      <w:r w:rsidR="00C36F8C" w:rsidRPr="00264045">
        <w:rPr>
          <w:rFonts w:cs="Times New Roman"/>
        </w:rPr>
        <w:t>inorganic matter</w:t>
      </w:r>
      <w:r w:rsidRPr="00264045">
        <w:rPr>
          <w:rFonts w:cs="Times New Roman"/>
        </w:rPr>
        <w:t xml:space="preserve"> to grant it </w:t>
      </w:r>
      <w:r w:rsidR="00C36F8C" w:rsidRPr="00264045">
        <w:rPr>
          <w:rFonts w:cs="Times New Roman"/>
        </w:rPr>
        <w:t>predicates traditionally reserved for organic matter or the human being, for example, freedom, agency, creativity</w:t>
      </w:r>
      <w:r w:rsidR="00206698">
        <w:rPr>
          <w:rFonts w:cs="Times New Roman"/>
        </w:rPr>
        <w:t>,</w:t>
      </w:r>
      <w:r w:rsidR="00C36F8C" w:rsidRPr="00264045">
        <w:rPr>
          <w:rFonts w:cs="Times New Roman"/>
        </w:rPr>
        <w:t xml:space="preserve"> and life. Granting matter life, freedom</w:t>
      </w:r>
      <w:r w:rsidR="00206698">
        <w:rPr>
          <w:rFonts w:cs="Times New Roman"/>
        </w:rPr>
        <w:t>,</w:t>
      </w:r>
      <w:r w:rsidR="00C36F8C" w:rsidRPr="00264045">
        <w:rPr>
          <w:rFonts w:cs="Times New Roman"/>
        </w:rPr>
        <w:t xml:space="preserve"> and invention is </w:t>
      </w:r>
      <w:r w:rsidRPr="00264045">
        <w:rPr>
          <w:rFonts w:cs="Times New Roman"/>
        </w:rPr>
        <w:t>inconsequential</w:t>
      </w:r>
      <w:r w:rsidR="00C36F8C" w:rsidRPr="00264045">
        <w:rPr>
          <w:rFonts w:cs="Times New Roman"/>
        </w:rPr>
        <w:t xml:space="preserve"> so long as we have not asked what life, freedom, or invention are, not to mention matter. If an entire monograph, or an entire field, reshuffles these terms endlessly without ever </w:t>
      </w:r>
      <w:r w:rsidR="002129F7">
        <w:rPr>
          <w:rFonts w:cs="Times New Roman"/>
        </w:rPr>
        <w:t>placing their essence in question</w:t>
      </w:r>
      <w:r w:rsidR="00C36F8C" w:rsidRPr="00264045">
        <w:rPr>
          <w:rFonts w:cs="Times New Roman"/>
        </w:rPr>
        <w:t xml:space="preserve">, it can only reinforce received, traditional definitions of the concepts it assumes. The effort made here to challenge this inheritance will begin to resemble phenomenology, </w:t>
      </w:r>
      <w:proofErr w:type="spellStart"/>
      <w:r w:rsidR="00C36F8C" w:rsidRPr="00264045">
        <w:rPr>
          <w:rFonts w:cs="Times New Roman"/>
          <w:i/>
          <w:iCs/>
        </w:rPr>
        <w:t>Destruktion</w:t>
      </w:r>
      <w:proofErr w:type="spellEnd"/>
      <w:r w:rsidR="00C36F8C" w:rsidRPr="00264045">
        <w:rPr>
          <w:rFonts w:cs="Times New Roman"/>
        </w:rPr>
        <w:t xml:space="preserve">, or deconstruction. If the </w:t>
      </w:r>
      <w:r w:rsidR="008E1AEF">
        <w:rPr>
          <w:rFonts w:cs="Times New Roman"/>
        </w:rPr>
        <w:t>work of</w:t>
      </w:r>
      <w:r w:rsidR="00C36F8C" w:rsidRPr="00264045">
        <w:rPr>
          <w:rFonts w:cs="Times New Roman"/>
        </w:rPr>
        <w:t xml:space="preserve"> essential intuition discovers that life, freedom</w:t>
      </w:r>
      <w:r w:rsidR="00206698">
        <w:rPr>
          <w:rFonts w:cs="Times New Roman"/>
        </w:rPr>
        <w:t>,</w:t>
      </w:r>
      <w:r w:rsidR="00C36F8C" w:rsidRPr="00264045">
        <w:rPr>
          <w:rFonts w:cs="Times New Roman"/>
        </w:rPr>
        <w:t xml:space="preserve"> and invention cannot appear as such, that they are phenomena of the non-phenomenal, and if we find no foundation in the textual history that might ground their concepts, we may glimpse, once we have exhausted essence and existence, </w:t>
      </w:r>
      <w:r w:rsidR="00682B8B" w:rsidRPr="00264045">
        <w:rPr>
          <w:rFonts w:cs="Times New Roman"/>
        </w:rPr>
        <w:lastRenderedPageBreak/>
        <w:t>the</w:t>
      </w:r>
      <w:r w:rsidR="00C36F8C" w:rsidRPr="00264045">
        <w:rPr>
          <w:rFonts w:cs="Times New Roman"/>
        </w:rPr>
        <w:t xml:space="preserve"> other matter or matter of the other which renders Bennett’s reversal just as untenable as any traditional dogmatism she hoped to upset.</w:t>
      </w:r>
    </w:p>
    <w:p w14:paraId="013F9697" w14:textId="77777777" w:rsidR="00FE3DD3" w:rsidRPr="00264045" w:rsidRDefault="00FE3DD3">
      <w:pPr>
        <w:pStyle w:val="BodyA"/>
        <w:rPr>
          <w:rFonts w:cs="Times New Roman"/>
        </w:rPr>
      </w:pPr>
    </w:p>
    <w:p w14:paraId="7F80E0A4" w14:textId="77777777" w:rsidR="00FE3DD3" w:rsidRPr="00264045" w:rsidRDefault="00C36F8C">
      <w:pPr>
        <w:pStyle w:val="BodyA"/>
        <w:jc w:val="center"/>
        <w:rPr>
          <w:rFonts w:cs="Times New Roman"/>
          <w:i/>
          <w:iCs/>
        </w:rPr>
      </w:pPr>
      <w:r w:rsidRPr="00264045">
        <w:rPr>
          <w:rFonts w:cs="Times New Roman"/>
          <w:i/>
          <w:iCs/>
        </w:rPr>
        <w:t>Freedom</w:t>
      </w:r>
    </w:p>
    <w:p w14:paraId="0E36DFDB" w14:textId="68670013" w:rsidR="00FE3DD3" w:rsidRPr="00264045" w:rsidRDefault="00C36F8C">
      <w:pPr>
        <w:pStyle w:val="BodyA"/>
        <w:rPr>
          <w:rFonts w:cs="Times New Roman"/>
        </w:rPr>
      </w:pPr>
      <w:r w:rsidRPr="00264045">
        <w:rPr>
          <w:rFonts w:cs="Times New Roman"/>
        </w:rPr>
        <w:t xml:space="preserve">The foundational claim of a </w:t>
      </w:r>
      <w:r w:rsidR="007B419C">
        <w:rPr>
          <w:rFonts w:cs="Times New Roman"/>
        </w:rPr>
        <w:t>“</w:t>
      </w:r>
      <w:r w:rsidRPr="00264045">
        <w:rPr>
          <w:rFonts w:cs="Times New Roman"/>
        </w:rPr>
        <w:t>vital materialism</w:t>
      </w:r>
      <w:r w:rsidR="007B419C">
        <w:rPr>
          <w:rFonts w:cs="Times New Roman"/>
        </w:rPr>
        <w:t>”</w:t>
      </w:r>
      <w:r w:rsidRPr="00264045">
        <w:rPr>
          <w:rFonts w:cs="Times New Roman"/>
        </w:rPr>
        <w:t xml:space="preserve"> must be the assertion that</w:t>
      </w:r>
      <w:r w:rsidR="00BE3C54">
        <w:rPr>
          <w:rFonts w:cs="Times New Roman"/>
        </w:rPr>
        <w:t xml:space="preserve"> all</w:t>
      </w:r>
      <w:r w:rsidRPr="00264045">
        <w:rPr>
          <w:rFonts w:cs="Times New Roman"/>
        </w:rPr>
        <w:t xml:space="preserve"> matter is living.</w:t>
      </w:r>
      <w:r w:rsidR="00581EBA">
        <w:rPr>
          <w:rStyle w:val="EndnoteReference"/>
          <w:rFonts w:cs="Times New Roman"/>
        </w:rPr>
        <w:endnoteReference w:id="5"/>
      </w:r>
      <w:r w:rsidRPr="00264045">
        <w:rPr>
          <w:rFonts w:cs="Times New Roman"/>
        </w:rPr>
        <w:t xml:space="preserve"> </w:t>
      </w:r>
      <w:r w:rsidR="00C507A5">
        <w:rPr>
          <w:rFonts w:cs="Times New Roman"/>
        </w:rPr>
        <w:t>In Bennett’s words, “</w:t>
      </w:r>
      <w:r w:rsidR="00C507A5">
        <w:t>In this onto-tale, everything is, in a sense, alive” (117).</w:t>
      </w:r>
      <w:r w:rsidR="00353724">
        <w:rPr>
          <w:rStyle w:val="EndnoteReference"/>
        </w:rPr>
        <w:endnoteReference w:id="6"/>
      </w:r>
      <w:r w:rsidR="00C507A5">
        <w:t xml:space="preserve"> </w:t>
      </w:r>
      <w:r w:rsidR="00A06BF5">
        <w:t>The reservation</w:t>
      </w:r>
      <w:r w:rsidR="00480530">
        <w:t xml:space="preserve"> expressed</w:t>
      </w:r>
      <w:r w:rsidR="00A06BF5">
        <w:t xml:space="preserve"> here </w:t>
      </w:r>
      <w:r w:rsidR="00962370">
        <w:t>(“in a sense”)</w:t>
      </w:r>
      <w:r w:rsidR="00A06BF5">
        <w:t xml:space="preserve"> is due to her questioning of the vitalist traditions that animated matter by positing a para-material force (such as the soul).</w:t>
      </w:r>
      <w:r w:rsidR="00BE3C54">
        <w:t xml:space="preserve"> Because of</w:t>
      </w:r>
      <w:r w:rsidR="00A06BF5">
        <w:t xml:space="preserve"> </w:t>
      </w:r>
      <w:r w:rsidR="00BE3C54">
        <w:t>h</w:t>
      </w:r>
      <w:r w:rsidR="00A06BF5">
        <w:t>er apprehension that attributing life to matter</w:t>
      </w:r>
      <w:r w:rsidR="003F5087">
        <w:t xml:space="preserve"> will only reproduce this immaterial privilege</w:t>
      </w:r>
      <w:r w:rsidR="00BE3C54">
        <w:t>,</w:t>
      </w:r>
      <w:r w:rsidR="003F5087">
        <w:t xml:space="preserve"> </w:t>
      </w:r>
      <w:r w:rsidR="00BE3C54">
        <w:t xml:space="preserve">she </w:t>
      </w:r>
      <w:r w:rsidR="00F963EE">
        <w:t xml:space="preserve">primarily </w:t>
      </w:r>
      <w:r w:rsidR="00137481">
        <w:t>grants</w:t>
      </w:r>
      <w:r w:rsidR="00FD3893">
        <w:t xml:space="preserve"> it</w:t>
      </w:r>
      <w:r w:rsidR="003F5087">
        <w:t xml:space="preserve"> life-effects,</w:t>
      </w:r>
      <w:r w:rsidR="003F5087">
        <w:rPr>
          <w:rFonts w:cs="Times New Roman"/>
        </w:rPr>
        <w:t xml:space="preserve"> including</w:t>
      </w:r>
      <w:r w:rsidRPr="00264045">
        <w:rPr>
          <w:rFonts w:cs="Times New Roman"/>
        </w:rPr>
        <w:t xml:space="preserve"> self-organi</w:t>
      </w:r>
      <w:r w:rsidR="000A6041">
        <w:rPr>
          <w:rFonts w:cs="Times New Roman"/>
        </w:rPr>
        <w:t>z</w:t>
      </w:r>
      <w:r w:rsidRPr="00264045">
        <w:rPr>
          <w:rFonts w:cs="Times New Roman"/>
        </w:rPr>
        <w:t xml:space="preserve">ation, activity, force, energy, and agency. She rejects </w:t>
      </w:r>
      <w:r w:rsidR="003F5087">
        <w:rPr>
          <w:rFonts w:cs="Times New Roman"/>
        </w:rPr>
        <w:t xml:space="preserve">mechanism, </w:t>
      </w:r>
      <w:r w:rsidRPr="00264045">
        <w:rPr>
          <w:rFonts w:cs="Times New Roman"/>
        </w:rPr>
        <w:t>the model of inert or passive matter, preferring to emphasi</w:t>
      </w:r>
      <w:r w:rsidR="000A6041">
        <w:rPr>
          <w:rFonts w:cs="Times New Roman"/>
        </w:rPr>
        <w:t>z</w:t>
      </w:r>
      <w:r w:rsidRPr="00264045">
        <w:rPr>
          <w:rFonts w:cs="Times New Roman"/>
        </w:rPr>
        <w:t>e its indeterminateness, chanciness</w:t>
      </w:r>
      <w:r w:rsidR="000A6041">
        <w:rPr>
          <w:rFonts w:cs="Times New Roman"/>
        </w:rPr>
        <w:t>,</w:t>
      </w:r>
      <w:r w:rsidRPr="00264045">
        <w:rPr>
          <w:rFonts w:cs="Times New Roman"/>
        </w:rPr>
        <w:t xml:space="preserve"> and contingency. She identifies this suspension of necessity with freedom:</w:t>
      </w:r>
    </w:p>
    <w:p w14:paraId="6A367F57" w14:textId="5EF899CE" w:rsidR="00FE3DD3" w:rsidRPr="00264045" w:rsidRDefault="00C36F8C" w:rsidP="0035736F">
      <w:pPr>
        <w:pStyle w:val="quotation"/>
        <w:rPr>
          <w:rFonts w:cs="Times New Roman"/>
        </w:rPr>
      </w:pPr>
      <w:r w:rsidRPr="00264045">
        <w:rPr>
          <w:rFonts w:cs="Times New Roman"/>
        </w:rPr>
        <w:t>There is, of course, a rich tradition of another materialism, one in which atoms swerve, bodies are driven by conatus, and “unformed elements and materials dance</w:t>
      </w:r>
      <w:r w:rsidR="0035736F" w:rsidRPr="00264045">
        <w:rPr>
          <w:rFonts w:cs="Times New Roman"/>
        </w:rPr>
        <w:t>.</w:t>
      </w:r>
      <w:r w:rsidRPr="00264045">
        <w:rPr>
          <w:rFonts w:cs="Times New Roman"/>
        </w:rPr>
        <w:t>”</w:t>
      </w:r>
      <w:r w:rsidR="0035736F" w:rsidRPr="00264045">
        <w:rPr>
          <w:rFonts w:cs="Times New Roman"/>
        </w:rPr>
        <w:t xml:space="preserve"> From the perspective of this tradition, mechanical materialism underestimates the complex, emergent causality of materiality</w:t>
      </w:r>
      <w:r w:rsidRPr="00264045">
        <w:rPr>
          <w:rFonts w:cs="Times New Roman"/>
        </w:rPr>
        <w:t xml:space="preserve"> […]. Yet the popular image of materialism as mechanistic endures, perhaps because the scientific community tends to emphasize how human ingenuity can result in greater control over nature more than the element of freedom in matter. (Bennett 91)</w:t>
      </w:r>
    </w:p>
    <w:p w14:paraId="47C021F1" w14:textId="1484EA3F" w:rsidR="00FE3DD3" w:rsidRPr="00264045" w:rsidRDefault="00F15EA3">
      <w:pPr>
        <w:pStyle w:val="BodyA"/>
        <w:rPr>
          <w:rFonts w:cs="Times New Roman"/>
        </w:rPr>
      </w:pPr>
      <w:r w:rsidRPr="00264045">
        <w:rPr>
          <w:rFonts w:cs="Times New Roman"/>
        </w:rPr>
        <w:t xml:space="preserve">The predications and equivalences assumed here are not </w:t>
      </w:r>
      <w:r w:rsidR="00682B8B" w:rsidRPr="00264045">
        <w:rPr>
          <w:rFonts w:cs="Times New Roman"/>
        </w:rPr>
        <w:t xml:space="preserve">interrogated </w:t>
      </w:r>
      <w:r w:rsidRPr="00264045">
        <w:rPr>
          <w:rFonts w:cs="Times New Roman"/>
        </w:rPr>
        <w:t>in</w:t>
      </w:r>
      <w:r w:rsidR="00C36F8C" w:rsidRPr="00264045">
        <w:rPr>
          <w:rFonts w:cs="Times New Roman"/>
        </w:rPr>
        <w:t xml:space="preserve"> Bennett’s work. Is contingency a sure sign of freedom? And how does one observe or verify contingency at the level of empirical investigation or scientific proof? The elision of these questions, which ought to be foundational for a </w:t>
      </w:r>
      <w:r w:rsidR="007B419C">
        <w:rPr>
          <w:rFonts w:cs="Times New Roman"/>
        </w:rPr>
        <w:t>“</w:t>
      </w:r>
      <w:r w:rsidR="00C36F8C" w:rsidRPr="00264045">
        <w:rPr>
          <w:rFonts w:cs="Times New Roman"/>
        </w:rPr>
        <w:t>vital materialism</w:t>
      </w:r>
      <w:r w:rsidR="007B419C">
        <w:rPr>
          <w:rFonts w:cs="Times New Roman"/>
        </w:rPr>
        <w:t>”</w:t>
      </w:r>
      <w:r w:rsidR="00C36F8C" w:rsidRPr="00264045">
        <w:rPr>
          <w:rFonts w:cs="Times New Roman"/>
        </w:rPr>
        <w:t xml:space="preserve"> equating </w:t>
      </w:r>
      <w:r w:rsidR="00BE3C54">
        <w:rPr>
          <w:rFonts w:cs="Times New Roman"/>
        </w:rPr>
        <w:t>vitality</w:t>
      </w:r>
      <w:r w:rsidR="00C36F8C" w:rsidRPr="00264045">
        <w:rPr>
          <w:rFonts w:cs="Times New Roman"/>
        </w:rPr>
        <w:t xml:space="preserve"> with indeterminacy and freedom, </w:t>
      </w:r>
      <w:r w:rsidR="00C36F8C" w:rsidRPr="00264045">
        <w:rPr>
          <w:rFonts w:cs="Times New Roman"/>
        </w:rPr>
        <w:lastRenderedPageBreak/>
        <w:t xml:space="preserve">marks the absence of and the need for an investigation into these concepts that would bring her project into a dialogue with the </w:t>
      </w:r>
      <w:r w:rsidR="007B419C">
        <w:rPr>
          <w:rFonts w:cs="Times New Roman"/>
        </w:rPr>
        <w:t>“</w:t>
      </w:r>
      <w:r w:rsidR="002129F7">
        <w:rPr>
          <w:rFonts w:cs="Times New Roman"/>
        </w:rPr>
        <w:t>constructivist</w:t>
      </w:r>
      <w:r w:rsidR="007B419C">
        <w:rPr>
          <w:rFonts w:cs="Times New Roman"/>
        </w:rPr>
        <w:t>”</w:t>
      </w:r>
      <w:r w:rsidR="00C36F8C" w:rsidRPr="00264045">
        <w:rPr>
          <w:rFonts w:cs="Times New Roman"/>
        </w:rPr>
        <w:t xml:space="preserve"> tradition New Materialism began by rejecting.</w:t>
      </w:r>
    </w:p>
    <w:p w14:paraId="105B9442" w14:textId="2CE37D9E" w:rsidR="00FE3DD3" w:rsidRPr="00264045" w:rsidRDefault="00C36F8C">
      <w:pPr>
        <w:pStyle w:val="BodyA"/>
        <w:rPr>
          <w:rFonts w:cs="Times New Roman"/>
        </w:rPr>
      </w:pPr>
      <w:r w:rsidRPr="00264045">
        <w:rPr>
          <w:rFonts w:cs="Times New Roman"/>
        </w:rPr>
        <w:tab/>
        <w:t xml:space="preserve">At the very least, one would hope to find an acknowledgment that a significant segment of the history of reflection on freedom actually </w:t>
      </w:r>
      <w:r w:rsidR="000A02A3">
        <w:rPr>
          <w:rFonts w:cs="Times New Roman"/>
        </w:rPr>
        <w:t xml:space="preserve">ties </w:t>
      </w:r>
      <w:r w:rsidR="00761F97">
        <w:rPr>
          <w:rFonts w:cs="Times New Roman"/>
        </w:rPr>
        <w:t>its</w:t>
      </w:r>
      <w:r w:rsidR="00BE3C54">
        <w:rPr>
          <w:rFonts w:cs="Times New Roman"/>
        </w:rPr>
        <w:t xml:space="preserve"> </w:t>
      </w:r>
      <w:r w:rsidRPr="00264045">
        <w:rPr>
          <w:rFonts w:cs="Times New Roman"/>
        </w:rPr>
        <w:t xml:space="preserve">concept </w:t>
      </w:r>
      <w:r w:rsidR="000A02A3">
        <w:rPr>
          <w:rFonts w:cs="Times New Roman"/>
        </w:rPr>
        <w:t xml:space="preserve">to </w:t>
      </w:r>
      <w:r w:rsidRPr="00264045">
        <w:rPr>
          <w:rFonts w:cs="Times New Roman"/>
        </w:rPr>
        <w:t xml:space="preserve">necessity. Even if Bennett invoked this tradition only to reject it or offer counterarguments, the exercise of tarrying with the history of thought </w:t>
      </w:r>
      <w:r w:rsidR="00682B8B" w:rsidRPr="00264045">
        <w:rPr>
          <w:rFonts w:cs="Times New Roman"/>
        </w:rPr>
        <w:t>could refine our understanding of the concept</w:t>
      </w:r>
      <w:r w:rsidRPr="00264045">
        <w:rPr>
          <w:rFonts w:cs="Times New Roman"/>
        </w:rPr>
        <w:t xml:space="preserve">. </w:t>
      </w:r>
      <w:r w:rsidR="00846615">
        <w:rPr>
          <w:rFonts w:cs="Times New Roman"/>
        </w:rPr>
        <w:t xml:space="preserve">One index of the elision of this history: </w:t>
      </w:r>
      <w:r w:rsidRPr="00264045">
        <w:rPr>
          <w:rFonts w:cs="Times New Roman"/>
        </w:rPr>
        <w:t>Spinoza’s conatus appears in the passage just cited, alongside the atomist clinamen, as an example of anti-determinism</w:t>
      </w:r>
      <w:r w:rsidR="00846615">
        <w:rPr>
          <w:rFonts w:cs="Times New Roman"/>
        </w:rPr>
        <w:t xml:space="preserve">. </w:t>
      </w:r>
      <w:r w:rsidR="007A2499" w:rsidRPr="00264045">
        <w:rPr>
          <w:rFonts w:cs="Times New Roman"/>
        </w:rPr>
        <w:t xml:space="preserve">Spinoza </w:t>
      </w:r>
      <w:r w:rsidR="00846615">
        <w:rPr>
          <w:rFonts w:cs="Times New Roman"/>
        </w:rPr>
        <w:t xml:space="preserve">rather </w:t>
      </w:r>
      <w:r w:rsidR="007A2499" w:rsidRPr="00264045">
        <w:rPr>
          <w:rFonts w:cs="Times New Roman"/>
        </w:rPr>
        <w:t xml:space="preserve">placed all of nature, including the human order, under the bonds of necessity, </w:t>
      </w:r>
      <w:r w:rsidR="007A2499" w:rsidRPr="00264045">
        <w:rPr>
          <w:rFonts w:cs="Times New Roman"/>
          <w:i/>
        </w:rPr>
        <w:t>which he considered to be the positive ground of freedom</w:t>
      </w:r>
      <w:r w:rsidR="007A2499" w:rsidRPr="00264045">
        <w:rPr>
          <w:rFonts w:cs="Times New Roman"/>
        </w:rPr>
        <w:t>.</w:t>
      </w:r>
      <w:r w:rsidRPr="00264045">
        <w:rPr>
          <w:rFonts w:cs="Times New Roman"/>
        </w:rPr>
        <w:t xml:space="preserve"> </w:t>
      </w:r>
      <w:r w:rsidR="007A2499" w:rsidRPr="00264045">
        <w:rPr>
          <w:rFonts w:cs="Times New Roman"/>
        </w:rPr>
        <w:t>Far from an isolated whim, t</w:t>
      </w:r>
      <w:r w:rsidRPr="00264045">
        <w:rPr>
          <w:rFonts w:cs="Times New Roman"/>
        </w:rPr>
        <w:t>his bond of freedom and necessity proved decisive for German Idealism, and its traces can be unearthed in every discussion of the nature of freedom.</w:t>
      </w:r>
      <w:r w:rsidR="002032B8">
        <w:rPr>
          <w:rStyle w:val="EndnoteReference"/>
          <w:rFonts w:cs="Times New Roman"/>
        </w:rPr>
        <w:endnoteReference w:id="7"/>
      </w:r>
    </w:p>
    <w:p w14:paraId="2453663E" w14:textId="77777777" w:rsidR="00FE3DD3" w:rsidRPr="00264045" w:rsidRDefault="00C36F8C">
      <w:pPr>
        <w:pStyle w:val="BodyA"/>
        <w:rPr>
          <w:rFonts w:cs="Times New Roman"/>
        </w:rPr>
      </w:pPr>
      <w:r w:rsidRPr="00264045">
        <w:rPr>
          <w:rFonts w:cs="Times New Roman"/>
        </w:rPr>
        <w:tab/>
      </w:r>
      <w:r w:rsidR="00F15EA3" w:rsidRPr="00264045">
        <w:rPr>
          <w:rFonts w:cs="Times New Roman"/>
        </w:rPr>
        <w:t>Freedom is always in a double bind between necessity and contingency</w:t>
      </w:r>
      <w:r w:rsidRPr="00264045">
        <w:rPr>
          <w:rFonts w:cs="Times New Roman"/>
        </w:rPr>
        <w:t xml:space="preserve">. For this reason, the </w:t>
      </w:r>
      <w:r w:rsidR="00846615">
        <w:rPr>
          <w:rFonts w:cs="Times New Roman"/>
        </w:rPr>
        <w:t xml:space="preserve">metaphysical </w:t>
      </w:r>
      <w:r w:rsidRPr="00264045">
        <w:rPr>
          <w:rFonts w:cs="Times New Roman"/>
        </w:rPr>
        <w:t xml:space="preserve">tradition has passed through every permutation not only of where to locate contingency and necessity among the components of free action, but also of which combination would or would not signify freedom. The necessity of matter is a positive ground of the possibility of freedom for a will that must be able to predict its effects on its body and external bodies in order to receive a basic awareness of its own agency. Of course, matter must also be contingent to the extent that it can accept the irruption of a somehow external spiritual force or enable the decision-making of a consciousness understood </w:t>
      </w:r>
      <w:proofErr w:type="spellStart"/>
      <w:r w:rsidRPr="00264045">
        <w:rPr>
          <w:rFonts w:cs="Times New Roman"/>
        </w:rPr>
        <w:t>monistically</w:t>
      </w:r>
      <w:proofErr w:type="spellEnd"/>
      <w:r w:rsidRPr="00264045">
        <w:rPr>
          <w:rFonts w:cs="Times New Roman"/>
        </w:rPr>
        <w:t xml:space="preserve">. This </w:t>
      </w:r>
      <w:r w:rsidR="00AD233A" w:rsidRPr="00264045">
        <w:rPr>
          <w:rFonts w:cs="Times New Roman"/>
        </w:rPr>
        <w:t>impetus or force</w:t>
      </w:r>
      <w:r w:rsidRPr="00264045">
        <w:rPr>
          <w:rFonts w:cs="Times New Roman"/>
        </w:rPr>
        <w:t xml:space="preserve">, </w:t>
      </w:r>
      <w:r w:rsidR="00AD233A" w:rsidRPr="00264045">
        <w:rPr>
          <w:rFonts w:cs="Times New Roman"/>
        </w:rPr>
        <w:t xml:space="preserve">if it is aware only of its own contingency or whim, may be </w:t>
      </w:r>
      <w:r w:rsidRPr="00264045">
        <w:rPr>
          <w:rFonts w:cs="Times New Roman"/>
        </w:rPr>
        <w:t xml:space="preserve">obeying </w:t>
      </w:r>
      <w:r w:rsidR="00AD233A" w:rsidRPr="00264045">
        <w:rPr>
          <w:rFonts w:cs="Times New Roman"/>
        </w:rPr>
        <w:t>the law (the necessity) of the other, unawares</w:t>
      </w:r>
      <w:r w:rsidRPr="00264045">
        <w:rPr>
          <w:rFonts w:cs="Times New Roman"/>
        </w:rPr>
        <w:t>.</w:t>
      </w:r>
      <w:r w:rsidR="00AD233A" w:rsidRPr="00264045">
        <w:rPr>
          <w:rFonts w:cs="Times New Roman"/>
        </w:rPr>
        <w:t xml:space="preserve"> It may even grant itself and identify itself with a law of action (such as a categorical imperative) to foreclose any thoughts of this heteronomy.</w:t>
      </w:r>
      <w:r w:rsidRPr="00264045">
        <w:rPr>
          <w:rFonts w:cs="Times New Roman"/>
        </w:rPr>
        <w:t xml:space="preserve"> At the other extreme, the necessity of matter or human will may be the result of the contingency of its beginning or </w:t>
      </w:r>
      <w:proofErr w:type="spellStart"/>
      <w:r w:rsidRPr="00264045">
        <w:rPr>
          <w:rFonts w:cs="Times New Roman"/>
        </w:rPr>
        <w:lastRenderedPageBreak/>
        <w:t>beginninglessness</w:t>
      </w:r>
      <w:proofErr w:type="spellEnd"/>
      <w:r w:rsidRPr="00264045">
        <w:rPr>
          <w:rFonts w:cs="Times New Roman"/>
        </w:rPr>
        <w:t>, as certain atomist traditions imagined, or a result of an overarching, providential foresight that illumines necessity with a Godly freedom. These terms allow for an endless specular play. I will propose that what is ultimately untenable is the idea of a freedom of sovereign decision, a freedom that would be one’s own and would return to the same, whether we imagine it as the freedom of matter or life, human or nonhuman—but we are not there yet.</w:t>
      </w:r>
    </w:p>
    <w:p w14:paraId="2E863031" w14:textId="620B24FA" w:rsidR="00FE3DD3" w:rsidRPr="00264045" w:rsidRDefault="00C36F8C">
      <w:pPr>
        <w:pStyle w:val="BodyA"/>
        <w:rPr>
          <w:rFonts w:cs="Times New Roman"/>
        </w:rPr>
      </w:pPr>
      <w:r w:rsidRPr="00264045">
        <w:rPr>
          <w:rFonts w:cs="Times New Roman"/>
        </w:rPr>
        <w:tab/>
      </w:r>
      <w:r w:rsidR="00F15EA3" w:rsidRPr="00264045">
        <w:rPr>
          <w:rFonts w:cs="Times New Roman"/>
        </w:rPr>
        <w:t>E</w:t>
      </w:r>
      <w:r w:rsidRPr="00264045">
        <w:rPr>
          <w:rFonts w:cs="Times New Roman"/>
        </w:rPr>
        <w:t>very discussion of freedom reveal</w:t>
      </w:r>
      <w:r w:rsidR="00F15EA3" w:rsidRPr="00264045">
        <w:rPr>
          <w:rFonts w:cs="Times New Roman"/>
        </w:rPr>
        <w:t>s this</w:t>
      </w:r>
      <w:r w:rsidRPr="00264045">
        <w:rPr>
          <w:rFonts w:cs="Times New Roman"/>
        </w:rPr>
        <w:t xml:space="preserve"> double bind between necessity and contingency, and Bennett’s is no exception. </w:t>
      </w:r>
      <w:r w:rsidR="007B419C">
        <w:rPr>
          <w:rFonts w:cs="Times New Roman"/>
        </w:rPr>
        <w:t>“</w:t>
      </w:r>
      <w:r w:rsidR="00833FEC" w:rsidRPr="00264045">
        <w:rPr>
          <w:rFonts w:cs="Times New Roman"/>
        </w:rPr>
        <w:t>M</w:t>
      </w:r>
      <w:r w:rsidRPr="00264045">
        <w:rPr>
          <w:rFonts w:cs="Times New Roman"/>
        </w:rPr>
        <w:t>atter</w:t>
      </w:r>
      <w:r w:rsidR="0027722C">
        <w:rPr>
          <w:rFonts w:cs="Times New Roman"/>
        </w:rPr>
        <w:t>,</w:t>
      </w:r>
      <w:r w:rsidR="007B419C">
        <w:rPr>
          <w:rFonts w:cs="Times New Roman"/>
        </w:rPr>
        <w:t>”</w:t>
      </w:r>
      <w:r w:rsidRPr="00264045">
        <w:rPr>
          <w:rFonts w:cs="Times New Roman"/>
        </w:rPr>
        <w:t xml:space="preserve"> as the </w:t>
      </w:r>
      <w:r w:rsidR="0027722C">
        <w:rPr>
          <w:rFonts w:cs="Times New Roman"/>
        </w:rPr>
        <w:t xml:space="preserve">metaphysical </w:t>
      </w:r>
      <w:r w:rsidRPr="00264045">
        <w:rPr>
          <w:rFonts w:cs="Times New Roman"/>
        </w:rPr>
        <w:t>tradition defines it</w:t>
      </w:r>
      <w:r w:rsidR="0027722C">
        <w:rPr>
          <w:rFonts w:cs="Times New Roman"/>
        </w:rPr>
        <w:t>,</w:t>
      </w:r>
      <w:r w:rsidRPr="00264045">
        <w:rPr>
          <w:rFonts w:cs="Times New Roman"/>
        </w:rPr>
        <w:t xml:space="preserve"> is not a group of objects (or processes, or flows) but the role passivity and inertia play in a structural relationship with other concepts (activity, force, and so on). For this reason, our thinking of matter has not changed in the least if certain objects (electricity, metals, foods) have been granted agency, without questioning the relationship of this term, and of the structure of identity in general, to </w:t>
      </w:r>
      <w:r w:rsidR="00045615" w:rsidRPr="00264045">
        <w:rPr>
          <w:rFonts w:cs="Times New Roman"/>
        </w:rPr>
        <w:t>the law-governed form of necessity</w:t>
      </w:r>
      <w:r w:rsidRPr="00264045">
        <w:rPr>
          <w:rFonts w:cs="Times New Roman"/>
        </w:rPr>
        <w:t xml:space="preserve">. When Bennett would like to provide an example of </w:t>
      </w:r>
      <w:r w:rsidR="007B419C">
        <w:rPr>
          <w:rFonts w:cs="Times New Roman"/>
        </w:rPr>
        <w:t>“</w:t>
      </w:r>
      <w:r w:rsidRPr="00264045">
        <w:rPr>
          <w:rFonts w:cs="Times New Roman"/>
        </w:rPr>
        <w:t>nonhuman agency at work</w:t>
      </w:r>
      <w:r w:rsidR="000A6041">
        <w:rPr>
          <w:rFonts w:cs="Times New Roman"/>
        </w:rPr>
        <w:t>,</w:t>
      </w:r>
      <w:r w:rsidR="007B419C">
        <w:rPr>
          <w:rFonts w:cs="Times New Roman"/>
        </w:rPr>
        <w:t>”</w:t>
      </w:r>
      <w:r w:rsidRPr="00264045">
        <w:rPr>
          <w:rFonts w:cs="Times New Roman"/>
        </w:rPr>
        <w:t xml:space="preserve"> she resorts to a positivistic scientific study dependent on the most traditional definition of matter:</w:t>
      </w:r>
    </w:p>
    <w:p w14:paraId="6CF38F34" w14:textId="006900F2" w:rsidR="00FE3DD3" w:rsidRPr="00264045" w:rsidRDefault="00C36F8C">
      <w:pPr>
        <w:pStyle w:val="quotation"/>
        <w:rPr>
          <w:rFonts w:cs="Times New Roman"/>
        </w:rPr>
      </w:pPr>
      <w:r w:rsidRPr="00264045">
        <w:rPr>
          <w:rFonts w:cs="Times New Roman"/>
        </w:rPr>
        <w:t>Several recent studies suggest that fat […] can make prisoners less prone to violent acts, inattentive schoolchildren better able to focus, and bipolar persons less depressed. A widely cited 2002 “double-blind, placebo-controlled, randomized trial of nutritional supplements on 231 young adult prisoners […]” shows a 35 percent reduction of offences among British prisoners given omega-3 fatty acids.</w:t>
      </w:r>
      <w:r w:rsidR="00045615" w:rsidRPr="00264045">
        <w:rPr>
          <w:rFonts w:cs="Times New Roman"/>
        </w:rPr>
        <w:t xml:space="preserve"> (41)</w:t>
      </w:r>
    </w:p>
    <w:p w14:paraId="56C9C210" w14:textId="3757D020" w:rsidR="00FE3DD3" w:rsidRPr="00264045" w:rsidRDefault="00C36F8C">
      <w:pPr>
        <w:pStyle w:val="BodyA"/>
        <w:rPr>
          <w:rFonts w:cs="Times New Roman"/>
        </w:rPr>
      </w:pPr>
      <w:r w:rsidRPr="00264045">
        <w:rPr>
          <w:rFonts w:cs="Times New Roman"/>
        </w:rPr>
        <w:t xml:space="preserve">Bennett </w:t>
      </w:r>
      <w:r w:rsidR="00F15EA3" w:rsidRPr="00264045">
        <w:rPr>
          <w:rFonts w:cs="Times New Roman"/>
        </w:rPr>
        <w:t xml:space="preserve">would like </w:t>
      </w:r>
      <w:r w:rsidRPr="00264045">
        <w:rPr>
          <w:rFonts w:cs="Times New Roman"/>
        </w:rPr>
        <w:t xml:space="preserve">to </w:t>
      </w:r>
      <w:r w:rsidR="003A0E2D">
        <w:rPr>
          <w:rFonts w:cs="Times New Roman"/>
        </w:rPr>
        <w:t xml:space="preserve">place in </w:t>
      </w:r>
      <w:r w:rsidRPr="00264045">
        <w:rPr>
          <w:rFonts w:cs="Times New Roman"/>
        </w:rPr>
        <w:t xml:space="preserve">question the </w:t>
      </w:r>
      <w:r w:rsidR="00F15EA3" w:rsidRPr="00264045">
        <w:rPr>
          <w:rFonts w:cs="Times New Roman"/>
        </w:rPr>
        <w:t xml:space="preserve">independence of human thought </w:t>
      </w:r>
      <w:r w:rsidRPr="00264045">
        <w:rPr>
          <w:rFonts w:cs="Times New Roman"/>
        </w:rPr>
        <w:t xml:space="preserve">from its interplay with matter, </w:t>
      </w:r>
      <w:r w:rsidR="00F15EA3" w:rsidRPr="00264045">
        <w:rPr>
          <w:rFonts w:cs="Times New Roman"/>
        </w:rPr>
        <w:t xml:space="preserve">but </w:t>
      </w:r>
      <w:r w:rsidRPr="00264045">
        <w:rPr>
          <w:rFonts w:cs="Times New Roman"/>
        </w:rPr>
        <w:t xml:space="preserve">she can do so here only by </w:t>
      </w:r>
      <w:r w:rsidR="000D1C16" w:rsidRPr="00264045">
        <w:rPr>
          <w:rFonts w:cs="Times New Roman"/>
        </w:rPr>
        <w:t>binding matter and mind to a probabilistic law</w:t>
      </w:r>
      <w:r w:rsidRPr="00264045">
        <w:rPr>
          <w:rFonts w:cs="Times New Roman"/>
        </w:rPr>
        <w:t xml:space="preserve">. If </w:t>
      </w:r>
      <w:r w:rsidR="007B419C">
        <w:rPr>
          <w:rFonts w:cs="Times New Roman"/>
        </w:rPr>
        <w:t>“</w:t>
      </w:r>
      <w:r w:rsidRPr="00264045">
        <w:rPr>
          <w:rFonts w:cs="Times New Roman"/>
        </w:rPr>
        <w:t>matter</w:t>
      </w:r>
      <w:r w:rsidR="007B419C">
        <w:rPr>
          <w:rFonts w:cs="Times New Roman"/>
        </w:rPr>
        <w:t>”</w:t>
      </w:r>
      <w:r w:rsidRPr="00264045">
        <w:rPr>
          <w:rFonts w:cs="Times New Roman"/>
        </w:rPr>
        <w:t xml:space="preserve"> were free to do as it pleased, </w:t>
      </w:r>
      <w:r w:rsidR="00510FEF">
        <w:rPr>
          <w:rFonts w:cs="Times New Roman"/>
        </w:rPr>
        <w:t xml:space="preserve">(which it may well be—the physical, chemical, and biological laws that posit it as </w:t>
      </w:r>
      <w:r w:rsidRPr="00264045">
        <w:rPr>
          <w:rFonts w:cs="Times New Roman"/>
        </w:rPr>
        <w:t>a substrate of necessity</w:t>
      </w:r>
      <w:r w:rsidR="00510FEF">
        <w:rPr>
          <w:rFonts w:cs="Times New Roman"/>
        </w:rPr>
        <w:t xml:space="preserve"> and </w:t>
      </w:r>
      <w:r w:rsidRPr="00264045">
        <w:rPr>
          <w:rFonts w:cs="Times New Roman"/>
        </w:rPr>
        <w:t>predictability</w:t>
      </w:r>
      <w:r w:rsidR="00510FEF">
        <w:rPr>
          <w:rFonts w:cs="Times New Roman"/>
        </w:rPr>
        <w:t xml:space="preserve"> may well be distortions)</w:t>
      </w:r>
      <w:r w:rsidRPr="00264045">
        <w:rPr>
          <w:rFonts w:cs="Times New Roman"/>
        </w:rPr>
        <w:t xml:space="preserve">, </w:t>
      </w:r>
      <w:r w:rsidRPr="00264045">
        <w:rPr>
          <w:rFonts w:cs="Times New Roman"/>
        </w:rPr>
        <w:lastRenderedPageBreak/>
        <w:t xml:space="preserve">we would be no more certain of our own agency then we </w:t>
      </w:r>
      <w:r w:rsidR="002073BD">
        <w:rPr>
          <w:rFonts w:cs="Times New Roman"/>
        </w:rPr>
        <w:t>would be</w:t>
      </w:r>
      <w:r w:rsidRPr="00264045">
        <w:rPr>
          <w:rFonts w:cs="Times New Roman"/>
        </w:rPr>
        <w:t xml:space="preserve"> of the agency of matter.</w:t>
      </w:r>
      <w:r w:rsidR="00570024" w:rsidRPr="00264045">
        <w:rPr>
          <w:rStyle w:val="EndnoteReference"/>
          <w:rFonts w:cs="Times New Roman"/>
        </w:rPr>
        <w:endnoteReference w:id="8"/>
      </w:r>
      <w:r w:rsidRPr="00264045">
        <w:rPr>
          <w:rFonts w:cs="Times New Roman"/>
        </w:rPr>
        <w:t xml:space="preserve"> </w:t>
      </w:r>
      <w:r w:rsidR="00976601">
        <w:rPr>
          <w:rFonts w:cs="Times New Roman"/>
        </w:rPr>
        <w:t>Again, so it may be</w:t>
      </w:r>
      <w:r w:rsidRPr="00264045">
        <w:rPr>
          <w:rFonts w:cs="Times New Roman"/>
        </w:rPr>
        <w:t xml:space="preserve">—I would suggest revising Bennett’s position not in the direction of a restoration of human exceptionalism, but rather toward a recognition of the undecidability of the agency or activity of all matter, organic and inorganic, human and non-human. Because Bennett has only reversed the concepts in play, without deconstructing them, matter remains in her work under the yoke of </w:t>
      </w:r>
      <w:r w:rsidR="00D37DAE">
        <w:rPr>
          <w:rFonts w:cs="Times New Roman"/>
        </w:rPr>
        <w:t xml:space="preserve">the </w:t>
      </w:r>
      <w:r w:rsidRPr="00264045">
        <w:rPr>
          <w:rFonts w:cs="Times New Roman"/>
        </w:rPr>
        <w:t>law, the essence of its traditional definition.</w:t>
      </w:r>
    </w:p>
    <w:p w14:paraId="1526C98A" w14:textId="77777777" w:rsidR="00FE3DD3" w:rsidRPr="00264045" w:rsidRDefault="00C36F8C">
      <w:pPr>
        <w:pStyle w:val="BodyA"/>
        <w:rPr>
          <w:rFonts w:cs="Times New Roman"/>
        </w:rPr>
      </w:pPr>
      <w:r w:rsidRPr="00264045">
        <w:rPr>
          <w:rFonts w:cs="Times New Roman"/>
        </w:rPr>
        <w:tab/>
        <w:t xml:space="preserve">Such gestures are common among New Materialists. For example, </w:t>
      </w:r>
      <w:proofErr w:type="spellStart"/>
      <w:r w:rsidRPr="00264045">
        <w:rPr>
          <w:rFonts w:cs="Times New Roman"/>
        </w:rPr>
        <w:t>Coole</w:t>
      </w:r>
      <w:proofErr w:type="spellEnd"/>
      <w:r w:rsidRPr="00264045">
        <w:rPr>
          <w:rFonts w:cs="Times New Roman"/>
        </w:rPr>
        <w:t xml:space="preserve"> and Frost</w:t>
      </w:r>
      <w:r w:rsidR="00DC2071" w:rsidRPr="00264045">
        <w:rPr>
          <w:rFonts w:cs="Times New Roman"/>
        </w:rPr>
        <w:t xml:space="preserve"> </w:t>
      </w:r>
      <w:r w:rsidRPr="00264045">
        <w:rPr>
          <w:rFonts w:cs="Times New Roman"/>
        </w:rPr>
        <w:t xml:space="preserve">cite similar studies in their </w:t>
      </w:r>
      <w:r w:rsidR="007B419C">
        <w:rPr>
          <w:rFonts w:cs="Times New Roman"/>
        </w:rPr>
        <w:t>“</w:t>
      </w:r>
      <w:r w:rsidR="00DC2071" w:rsidRPr="00264045">
        <w:rPr>
          <w:rFonts w:cs="Times New Roman"/>
        </w:rPr>
        <w:t>Introducing the New Materialisms</w:t>
      </w:r>
      <w:r w:rsidR="007B419C">
        <w:rPr>
          <w:rFonts w:cs="Times New Roman"/>
        </w:rPr>
        <w:t>”</w:t>
      </w:r>
      <w:r w:rsidR="00D379A9">
        <w:rPr>
          <w:rFonts w:cs="Times New Roman"/>
        </w:rPr>
        <w:t xml:space="preserve"> </w:t>
      </w:r>
      <w:r w:rsidR="00D379A9" w:rsidRPr="00264045">
        <w:rPr>
          <w:rFonts w:cs="Times New Roman"/>
        </w:rPr>
        <w:t>(18)</w:t>
      </w:r>
      <w:r w:rsidRPr="00264045">
        <w:rPr>
          <w:rFonts w:cs="Times New Roman"/>
        </w:rPr>
        <w:t>. Bennett takes a precaution the others forego, however, in recognition of the paradoxical nature of her argument:</w:t>
      </w:r>
    </w:p>
    <w:p w14:paraId="0C0E71ED" w14:textId="5755E209" w:rsidR="00FE3DD3" w:rsidRPr="00264045" w:rsidRDefault="00C36F8C">
      <w:pPr>
        <w:pStyle w:val="quotation"/>
        <w:rPr>
          <w:rFonts w:cs="Times New Roman"/>
        </w:rPr>
      </w:pPr>
      <w:r w:rsidRPr="00264045">
        <w:rPr>
          <w:rFonts w:cs="Times New Roman"/>
        </w:rPr>
        <w:t xml:space="preserve">This effectivity ought not to be imagined as a mechanical causality […]. It is more likely that an emergent causality is at work here: particular fats, acting in different ways in different bodies […] may produce patterns of effects, though not in </w:t>
      </w:r>
      <w:r w:rsidR="00D0689E">
        <w:rPr>
          <w:rFonts w:cs="Times New Roman"/>
        </w:rPr>
        <w:t>ways that are fully predictable</w:t>
      </w:r>
      <w:r w:rsidRPr="00264045">
        <w:rPr>
          <w:rFonts w:cs="Times New Roman"/>
        </w:rPr>
        <w:t xml:space="preserve"> </w:t>
      </w:r>
      <w:r w:rsidR="00D73B2A" w:rsidRPr="00264045">
        <w:rPr>
          <w:rFonts w:cs="Times New Roman"/>
        </w:rPr>
        <w:t>[…]</w:t>
      </w:r>
      <w:r w:rsidRPr="00264045">
        <w:rPr>
          <w:rFonts w:cs="Times New Roman"/>
        </w:rPr>
        <w:t>. The assemblage in which persons and fats are participants is perhaps better figured as a nonlinear system…</w:t>
      </w:r>
      <w:r w:rsidR="00B63B2A">
        <w:rPr>
          <w:rFonts w:cs="Times New Roman"/>
        </w:rPr>
        <w:t xml:space="preserve"> </w:t>
      </w:r>
      <w:r w:rsidR="00B63B2A" w:rsidRPr="00264045">
        <w:rPr>
          <w:rFonts w:cs="Times New Roman"/>
        </w:rPr>
        <w:t>(41-2)</w:t>
      </w:r>
    </w:p>
    <w:p w14:paraId="21354CD1" w14:textId="537ABF91" w:rsidR="00FE3DD3" w:rsidRDefault="00C36F8C">
      <w:pPr>
        <w:pStyle w:val="BodyA"/>
        <w:rPr>
          <w:rFonts w:cs="Times New Roman"/>
        </w:rPr>
      </w:pPr>
      <w:r w:rsidRPr="00264045">
        <w:rPr>
          <w:rFonts w:cs="Times New Roman"/>
        </w:rPr>
        <w:t xml:space="preserve">Is this invocation of chaos </w:t>
      </w:r>
      <w:r w:rsidR="009A789D" w:rsidRPr="00264045">
        <w:rPr>
          <w:rFonts w:cs="Times New Roman"/>
        </w:rPr>
        <w:t xml:space="preserve">and complexity </w:t>
      </w:r>
      <w:r w:rsidRPr="00264045">
        <w:rPr>
          <w:rFonts w:cs="Times New Roman"/>
        </w:rPr>
        <w:t>(</w:t>
      </w:r>
      <w:r w:rsidR="00976601">
        <w:rPr>
          <w:rFonts w:cs="Times New Roman"/>
        </w:rPr>
        <w:t>“</w:t>
      </w:r>
      <w:r w:rsidRPr="00264045">
        <w:rPr>
          <w:rFonts w:cs="Times New Roman"/>
        </w:rPr>
        <w:t>nonlinear system</w:t>
      </w:r>
      <w:r w:rsidR="009A789D">
        <w:rPr>
          <w:rFonts w:cs="Times New Roman"/>
        </w:rPr>
        <w:t>,</w:t>
      </w:r>
      <w:r w:rsidR="00976601">
        <w:rPr>
          <w:rFonts w:cs="Times New Roman"/>
        </w:rPr>
        <w:t>”</w:t>
      </w:r>
      <w:r w:rsidRPr="00264045">
        <w:rPr>
          <w:rFonts w:cs="Times New Roman"/>
        </w:rPr>
        <w:t xml:space="preserve"> </w:t>
      </w:r>
      <w:r w:rsidR="007B419C">
        <w:rPr>
          <w:rFonts w:cs="Times New Roman"/>
        </w:rPr>
        <w:t>“</w:t>
      </w:r>
      <w:r w:rsidRPr="00264045">
        <w:rPr>
          <w:rFonts w:cs="Times New Roman"/>
        </w:rPr>
        <w:t>emergent causality</w:t>
      </w:r>
      <w:r w:rsidR="007B419C">
        <w:rPr>
          <w:rFonts w:cs="Times New Roman"/>
        </w:rPr>
        <w:t>”</w:t>
      </w:r>
      <w:r w:rsidRPr="00264045">
        <w:rPr>
          <w:rFonts w:cs="Times New Roman"/>
        </w:rPr>
        <w:t xml:space="preserve">) enough to absolve Bennett of any complicity with mechanism? The assertion being made, here and elsewhere in her work, is that these fields can offer scientific proof of the contingency governing chaotic and complex systems. She credits </w:t>
      </w:r>
      <w:r w:rsidR="007B419C">
        <w:rPr>
          <w:rFonts w:cs="Times New Roman"/>
        </w:rPr>
        <w:t>“</w:t>
      </w:r>
      <w:r w:rsidRPr="00264045">
        <w:rPr>
          <w:rFonts w:cs="Times New Roman"/>
        </w:rPr>
        <w:t>systems theory, complexity theory, chaos theory, fluid dynamics,</w:t>
      </w:r>
      <w:r w:rsidR="007B419C">
        <w:rPr>
          <w:rFonts w:cs="Times New Roman"/>
        </w:rPr>
        <w:t>”</w:t>
      </w:r>
      <w:r w:rsidRPr="00264045">
        <w:rPr>
          <w:rFonts w:cs="Times New Roman"/>
        </w:rPr>
        <w:t xml:space="preserve"> and </w:t>
      </w:r>
      <w:r w:rsidR="007B419C">
        <w:rPr>
          <w:rFonts w:cs="Times New Roman"/>
        </w:rPr>
        <w:t>“</w:t>
      </w:r>
      <w:proofErr w:type="spellStart"/>
      <w:r w:rsidRPr="00264045">
        <w:rPr>
          <w:rFonts w:cs="Times New Roman"/>
        </w:rPr>
        <w:t>biophilosophies</w:t>
      </w:r>
      <w:proofErr w:type="spellEnd"/>
      <w:r w:rsidRPr="00264045">
        <w:rPr>
          <w:rFonts w:cs="Times New Roman"/>
        </w:rPr>
        <w:t xml:space="preserve"> of flow</w:t>
      </w:r>
      <w:r w:rsidR="007B419C">
        <w:rPr>
          <w:rFonts w:cs="Times New Roman"/>
        </w:rPr>
        <w:t>”</w:t>
      </w:r>
      <w:r w:rsidRPr="00264045">
        <w:rPr>
          <w:rFonts w:cs="Times New Roman"/>
        </w:rPr>
        <w:t xml:space="preserve"> as forming a scientific consensus on </w:t>
      </w:r>
      <w:r w:rsidR="007B419C">
        <w:rPr>
          <w:rFonts w:cs="Times New Roman"/>
        </w:rPr>
        <w:t>“</w:t>
      </w:r>
      <w:r w:rsidRPr="00264045">
        <w:rPr>
          <w:rFonts w:cs="Times New Roman"/>
        </w:rPr>
        <w:t>the freedom of matter</w:t>
      </w:r>
      <w:r w:rsidR="007B419C">
        <w:rPr>
          <w:rFonts w:cs="Times New Roman"/>
        </w:rPr>
        <w:t>”</w:t>
      </w:r>
      <w:r w:rsidRPr="00264045">
        <w:rPr>
          <w:rFonts w:cs="Times New Roman"/>
        </w:rPr>
        <w:t xml:space="preserve"> (Bennett 91). Even the most rudimentary knowledge of chaos theory belies this conclusion. It is certainly the case that the study of chaos undermines our faith in the fundamental predictability of physics, understood in the most classical sense as natural change. Chaos serves as a reminder that the mechanistic model was just that—a model, an ideali</w:t>
      </w:r>
      <w:r w:rsidR="00715928">
        <w:rPr>
          <w:rFonts w:cs="Times New Roman"/>
        </w:rPr>
        <w:t>z</w:t>
      </w:r>
      <w:r w:rsidRPr="00264045">
        <w:rPr>
          <w:rFonts w:cs="Times New Roman"/>
        </w:rPr>
        <w:t xml:space="preserve">ation of </w:t>
      </w:r>
      <w:r w:rsidRPr="00264045">
        <w:rPr>
          <w:rFonts w:cs="Times New Roman"/>
        </w:rPr>
        <w:lastRenderedPageBreak/>
        <w:t xml:space="preserve">the forces contributing to movement. But we enter the realm of mystagoguery if we think that the representations of chaos theory are anything but models themselves, </w:t>
      </w:r>
      <w:r w:rsidR="00FC4A92">
        <w:rPr>
          <w:rFonts w:cs="Times New Roman"/>
        </w:rPr>
        <w:t>still</w:t>
      </w:r>
      <w:r w:rsidRPr="00264045">
        <w:rPr>
          <w:rFonts w:cs="Times New Roman"/>
        </w:rPr>
        <w:t xml:space="preserve"> separated from the </w:t>
      </w:r>
      <w:r w:rsidR="007B419C">
        <w:rPr>
          <w:rFonts w:cs="Times New Roman"/>
        </w:rPr>
        <w:t>“</w:t>
      </w:r>
      <w:r w:rsidRPr="00264045">
        <w:rPr>
          <w:rFonts w:cs="Times New Roman"/>
        </w:rPr>
        <w:t>matter</w:t>
      </w:r>
      <w:r w:rsidR="007B419C">
        <w:rPr>
          <w:rFonts w:cs="Times New Roman"/>
        </w:rPr>
        <w:t>”</w:t>
      </w:r>
      <w:r w:rsidRPr="00264045">
        <w:rPr>
          <w:rFonts w:cs="Times New Roman"/>
        </w:rPr>
        <w:t xml:space="preserve"> they describe by a necessary </w:t>
      </w:r>
      <w:r w:rsidR="00555389">
        <w:rPr>
          <w:rFonts w:cs="Times New Roman"/>
        </w:rPr>
        <w:t>spacing</w:t>
      </w:r>
      <w:r w:rsidRPr="00264045">
        <w:rPr>
          <w:rFonts w:cs="Times New Roman"/>
        </w:rPr>
        <w:t>.</w:t>
      </w:r>
      <w:r w:rsidRPr="00264045">
        <w:rPr>
          <w:rFonts w:eastAsia="Times New Roman" w:cs="Times New Roman"/>
          <w:vertAlign w:val="superscript"/>
        </w:rPr>
        <w:endnoteReference w:id="9"/>
      </w:r>
      <w:r w:rsidRPr="00264045">
        <w:rPr>
          <w:rFonts w:cs="Times New Roman"/>
        </w:rPr>
        <w:t xml:space="preserve"> Even if we accept the premise that randomness is equivalent to freedom, we can never know if our stochastic modeling touches the essence of the system we describe or not. The possibility that unknown or even unknowable variables exist beyond our model governing what seems stochastic will always remain. Similarly, the mathematics of chaos</w:t>
      </w:r>
      <w:r w:rsidR="00C57C4F">
        <w:rPr>
          <w:rFonts w:cs="Times New Roman"/>
        </w:rPr>
        <w:t xml:space="preserve"> theory</w:t>
      </w:r>
      <w:r w:rsidRPr="00264045">
        <w:rPr>
          <w:rFonts w:cs="Times New Roman"/>
        </w:rPr>
        <w:t xml:space="preserve"> ha</w:t>
      </w:r>
      <w:r w:rsidR="00C57C4F">
        <w:rPr>
          <w:rFonts w:cs="Times New Roman"/>
        </w:rPr>
        <w:t>s</w:t>
      </w:r>
      <w:r w:rsidRPr="00264045">
        <w:rPr>
          <w:rFonts w:cs="Times New Roman"/>
        </w:rPr>
        <w:t xml:space="preserve"> shown that many systems traditionally modelled as deterministic can also be approximated, that is, modelled, by </w:t>
      </w:r>
      <w:r w:rsidR="00FC4A92">
        <w:rPr>
          <w:rFonts w:cs="Times New Roman"/>
        </w:rPr>
        <w:t>stochastic formulae</w:t>
      </w:r>
      <w:r w:rsidRPr="00264045">
        <w:rPr>
          <w:rFonts w:cs="Times New Roman"/>
        </w:rPr>
        <w:t xml:space="preserve">. The study of chaos does not reveal the absolute status of freedom or contingency, but rather the undecidability of the determinism or indeterminism of nature. Far from proving the contingency of matter, the most basic chaotic model, the Lorenz attractor, demonstrates that completely unpredictable behavior could emerge </w:t>
      </w:r>
      <w:r w:rsidRPr="00264045">
        <w:rPr>
          <w:rFonts w:cs="Times New Roman"/>
          <w:i/>
          <w:iCs/>
        </w:rPr>
        <w:t>from purely deterministic interactions</w:t>
      </w:r>
      <w:r w:rsidRPr="00264045">
        <w:rPr>
          <w:rFonts w:cs="Times New Roman"/>
        </w:rPr>
        <w:t>.</w:t>
      </w:r>
      <w:r w:rsidRPr="00264045">
        <w:rPr>
          <w:rFonts w:eastAsia="Times New Roman" w:cs="Times New Roman"/>
          <w:vertAlign w:val="superscript"/>
        </w:rPr>
        <w:endnoteReference w:id="10"/>
      </w:r>
      <w:r w:rsidRPr="00264045">
        <w:rPr>
          <w:rFonts w:cs="Times New Roman"/>
        </w:rPr>
        <w:t xml:space="preserve"> We should not make the mistake of thinking that what is unpredictable for us is proven thereby to be random or free in itself—this conclusion can only be drawn if we forget the limits of our own knowledge and accept the absolute status of scientific modelling.</w:t>
      </w:r>
      <w:r w:rsidRPr="00264045">
        <w:rPr>
          <w:rFonts w:eastAsia="Times New Roman" w:cs="Times New Roman"/>
          <w:vertAlign w:val="superscript"/>
        </w:rPr>
        <w:endnoteReference w:id="11"/>
      </w:r>
      <w:r w:rsidRPr="00264045">
        <w:rPr>
          <w:rFonts w:cs="Times New Roman"/>
        </w:rPr>
        <w:t xml:space="preserve"> To avoid this pitfall, one would have to further develop the precaution Bennett takes when she describes the behavior of worms as </w:t>
      </w:r>
      <w:r w:rsidR="007B419C">
        <w:rPr>
          <w:rFonts w:cs="Times New Roman"/>
        </w:rPr>
        <w:t>“</w:t>
      </w:r>
      <w:r w:rsidRPr="00264045">
        <w:rPr>
          <w:rFonts w:cs="Times New Roman"/>
        </w:rPr>
        <w:t>free, or at least unpredictable</w:t>
      </w:r>
      <w:r w:rsidR="007B419C">
        <w:rPr>
          <w:rFonts w:cs="Times New Roman"/>
        </w:rPr>
        <w:t>”</w:t>
      </w:r>
      <w:r w:rsidR="00715928">
        <w:rPr>
          <w:rFonts w:cs="Times New Roman"/>
        </w:rPr>
        <w:t xml:space="preserve"> </w:t>
      </w:r>
      <w:r w:rsidR="00715928" w:rsidRPr="00264045">
        <w:rPr>
          <w:rFonts w:cs="Times New Roman"/>
        </w:rPr>
        <w:t>(96)</w:t>
      </w:r>
      <w:r w:rsidRPr="00264045">
        <w:rPr>
          <w:rFonts w:cs="Times New Roman"/>
        </w:rPr>
        <w:t>.</w:t>
      </w:r>
    </w:p>
    <w:p w14:paraId="6F7C7A90" w14:textId="441F054E" w:rsidR="00A06042" w:rsidRDefault="00A06042">
      <w:pPr>
        <w:pStyle w:val="BodyA"/>
        <w:rPr>
          <w:rFonts w:cs="Times New Roman"/>
        </w:rPr>
      </w:pPr>
      <w:r w:rsidRPr="00264045">
        <w:rPr>
          <w:rFonts w:cs="Times New Roman"/>
        </w:rPr>
        <w:tab/>
      </w:r>
      <w:r w:rsidR="00FE54B2">
        <w:rPr>
          <w:rFonts w:cs="Times New Roman"/>
        </w:rPr>
        <w:t xml:space="preserve">It is because of the dogmatism with which Bennett attributes predicates such as freedom to vital matter that she </w:t>
      </w:r>
      <w:r w:rsidR="009D62F5">
        <w:rPr>
          <w:rFonts w:cs="Times New Roman"/>
        </w:rPr>
        <w:t>does not enter into</w:t>
      </w:r>
      <w:r w:rsidR="00FE54B2">
        <w:rPr>
          <w:rFonts w:cs="Times New Roman"/>
        </w:rPr>
        <w:t xml:space="preserve"> these </w:t>
      </w:r>
      <w:r w:rsidR="009D62F5">
        <w:rPr>
          <w:rFonts w:cs="Times New Roman"/>
        </w:rPr>
        <w:t xml:space="preserve">necessary </w:t>
      </w:r>
      <w:r w:rsidR="00FE54B2">
        <w:rPr>
          <w:rFonts w:cs="Times New Roman"/>
        </w:rPr>
        <w:t xml:space="preserve">problematics. </w:t>
      </w:r>
      <w:r w:rsidRPr="00264045">
        <w:rPr>
          <w:rFonts w:cs="Times New Roman"/>
        </w:rPr>
        <w:t xml:space="preserve">Consider the passage quoted above, where she claimed that, </w:t>
      </w:r>
      <w:r>
        <w:rPr>
          <w:rFonts w:cs="Times New Roman"/>
        </w:rPr>
        <w:t>“</w:t>
      </w:r>
      <w:r w:rsidRPr="00264045">
        <w:rPr>
          <w:rFonts w:cs="Times New Roman"/>
        </w:rPr>
        <w:t>the scientific community tends to emphasize how human ingenuity can result in greater control over nature more than the element of freedom in matter</w:t>
      </w:r>
      <w:r>
        <w:rPr>
          <w:rFonts w:cs="Times New Roman"/>
        </w:rPr>
        <w:t>”</w:t>
      </w:r>
      <w:r w:rsidRPr="00264045">
        <w:rPr>
          <w:rFonts w:cs="Times New Roman"/>
        </w:rPr>
        <w:t xml:space="preserve"> (Bennett 91). How could science emphasi</w:t>
      </w:r>
      <w:r>
        <w:rPr>
          <w:rFonts w:cs="Times New Roman"/>
        </w:rPr>
        <w:t>z</w:t>
      </w:r>
      <w:r w:rsidRPr="00264045">
        <w:rPr>
          <w:rFonts w:cs="Times New Roman"/>
        </w:rPr>
        <w:t xml:space="preserve">e the freedom of matter and remain science? Science can only offer </w:t>
      </w:r>
      <w:r w:rsidR="005D73D1">
        <w:rPr>
          <w:rFonts w:cs="Times New Roman"/>
        </w:rPr>
        <w:t>legislative</w:t>
      </w:r>
      <w:r w:rsidRPr="00264045">
        <w:rPr>
          <w:rFonts w:cs="Times New Roman"/>
        </w:rPr>
        <w:t xml:space="preserve"> descriptions of its observations, because that is what constitutes a </w:t>
      </w:r>
      <w:r w:rsidRPr="00264045">
        <w:rPr>
          <w:rFonts w:cs="Times New Roman"/>
        </w:rPr>
        <w:lastRenderedPageBreak/>
        <w:t xml:space="preserve">scientific explanation. That it must place the particular under a universal is its </w:t>
      </w:r>
      <w:proofErr w:type="spellStart"/>
      <w:r w:rsidRPr="00264045">
        <w:rPr>
          <w:rFonts w:cs="Times New Roman"/>
        </w:rPr>
        <w:t>Platonico-Artistotelian</w:t>
      </w:r>
      <w:proofErr w:type="spellEnd"/>
      <w:r w:rsidRPr="00264045">
        <w:rPr>
          <w:rFonts w:cs="Times New Roman"/>
        </w:rPr>
        <w:t xml:space="preserve"> legacy, from which it could not escape without ceasing to be recogni</w:t>
      </w:r>
      <w:r>
        <w:rPr>
          <w:rFonts w:cs="Times New Roman"/>
        </w:rPr>
        <w:t>z</w:t>
      </w:r>
      <w:r w:rsidRPr="00264045">
        <w:rPr>
          <w:rFonts w:cs="Times New Roman"/>
        </w:rPr>
        <w:t>able as science. A science of freedom is oxymoronic, because an event that could be derived from a principle is to that very extent unfree. A science that emphasi</w:t>
      </w:r>
      <w:r>
        <w:rPr>
          <w:rFonts w:cs="Times New Roman"/>
        </w:rPr>
        <w:t>z</w:t>
      </w:r>
      <w:r w:rsidRPr="00264045">
        <w:rPr>
          <w:rFonts w:cs="Times New Roman"/>
        </w:rPr>
        <w:t xml:space="preserve">ed the freedom in matter could say nothing at each moment besides: here is the free, the spontaneous, the unprecedented, the inexplicable. It would give up the pursuit of knowledge or explanation to revel in an anti-empiricism indistinguishable from spiritualism. To claim that nomothetic, empirical science has its roots in the scientific community’s emphasis on </w:t>
      </w:r>
      <w:r w:rsidR="00FE54B2">
        <w:rPr>
          <w:rFonts w:cs="Times New Roman"/>
        </w:rPr>
        <w:t>“</w:t>
      </w:r>
      <w:r w:rsidRPr="00264045">
        <w:rPr>
          <w:rFonts w:cs="Times New Roman"/>
        </w:rPr>
        <w:t>how human ingenuity can result in greater control over nature</w:t>
      </w:r>
      <w:r w:rsidR="00FE54B2">
        <w:rPr>
          <w:rFonts w:cs="Times New Roman"/>
        </w:rPr>
        <w:t>”</w:t>
      </w:r>
      <w:r w:rsidRPr="00264045">
        <w:rPr>
          <w:rFonts w:cs="Times New Roman"/>
        </w:rPr>
        <w:t xml:space="preserve"> is to mistake </w:t>
      </w:r>
      <w:r w:rsidR="009D62F5">
        <w:rPr>
          <w:rFonts w:cs="Times New Roman"/>
        </w:rPr>
        <w:t>effect for cause</w:t>
      </w:r>
      <w:r w:rsidRPr="00264045">
        <w:rPr>
          <w:rFonts w:cs="Times New Roman"/>
        </w:rPr>
        <w:t xml:space="preserve">. </w:t>
      </w:r>
    </w:p>
    <w:p w14:paraId="14D0BEDA" w14:textId="60018EDB" w:rsidR="00FE3DD3" w:rsidRPr="00264045" w:rsidRDefault="00D421DE" w:rsidP="00F250DA">
      <w:pPr>
        <w:pStyle w:val="BodyA"/>
        <w:rPr>
          <w:rFonts w:cs="Times New Roman"/>
        </w:rPr>
      </w:pPr>
      <w:r>
        <w:rPr>
          <w:rFonts w:cs="Times New Roman"/>
        </w:rPr>
        <w:tab/>
        <w:t xml:space="preserve">One finds </w:t>
      </w:r>
      <w:r w:rsidR="00B04273">
        <w:rPr>
          <w:rFonts w:cs="Times New Roman"/>
        </w:rPr>
        <w:t>two conflicting</w:t>
      </w:r>
      <w:r>
        <w:rPr>
          <w:rFonts w:cs="Times New Roman"/>
        </w:rPr>
        <w:t xml:space="preserve"> impetuses in Bennett’s work: respect </w:t>
      </w:r>
      <w:r w:rsidR="00402F8A">
        <w:rPr>
          <w:rFonts w:cs="Times New Roman"/>
        </w:rPr>
        <w:t xml:space="preserve">for </w:t>
      </w:r>
      <w:r>
        <w:rPr>
          <w:rFonts w:cs="Times New Roman"/>
        </w:rPr>
        <w:t>a certain mystery of matter, the “inscrutability” of its causality,</w:t>
      </w:r>
      <w:r w:rsidR="00896ED9">
        <w:rPr>
          <w:rStyle w:val="EndnoteReference"/>
          <w:rFonts w:cs="Times New Roman"/>
        </w:rPr>
        <w:endnoteReference w:id="12"/>
      </w:r>
      <w:r>
        <w:rPr>
          <w:rFonts w:cs="Times New Roman"/>
        </w:rPr>
        <w:t xml:space="preserve"> </w:t>
      </w:r>
      <w:r w:rsidR="00402F8A">
        <w:rPr>
          <w:rFonts w:cs="Times New Roman"/>
        </w:rPr>
        <w:t>alongside</w:t>
      </w:r>
      <w:r>
        <w:rPr>
          <w:rFonts w:cs="Times New Roman"/>
        </w:rPr>
        <w:t xml:space="preserve"> the assertion </w:t>
      </w:r>
      <w:r w:rsidR="00B840B0">
        <w:rPr>
          <w:rFonts w:cs="Times New Roman"/>
        </w:rPr>
        <w:t xml:space="preserve">that our scientific representation of matter is an absolute truth. </w:t>
      </w:r>
      <w:r w:rsidR="00D74CE4">
        <w:rPr>
          <w:rFonts w:cs="Times New Roman"/>
        </w:rPr>
        <w:t>If we can understand this as a necessary tension, we are beginning to see deconstruction at work</w:t>
      </w:r>
      <w:r w:rsidR="00970D8E">
        <w:rPr>
          <w:rFonts w:cs="Times New Roman"/>
        </w:rPr>
        <w:t xml:space="preserve"> in her text</w:t>
      </w:r>
      <w:r w:rsidR="00D74CE4">
        <w:rPr>
          <w:rFonts w:cs="Times New Roman"/>
        </w:rPr>
        <w:t>. Without something unknown, matter is too much like a mechanism, a machine, the clockwork necessity she hopes to exclude. Nonetheless, if we acknowledge that freedom is something in principle unknowable, th</w:t>
      </w:r>
      <w:r w:rsidR="007D46DD">
        <w:rPr>
          <w:rFonts w:cs="Times New Roman"/>
        </w:rPr>
        <w:t>e</w:t>
      </w:r>
      <w:r w:rsidR="00D74CE4">
        <w:rPr>
          <w:rFonts w:cs="Times New Roman"/>
        </w:rPr>
        <w:t xml:space="preserve">n we are in ignorance as to whether or not we observe it, whether in ourselves or in the other, for example the other matter. </w:t>
      </w:r>
      <w:r w:rsidR="007D46DD">
        <w:rPr>
          <w:rFonts w:cs="Times New Roman"/>
        </w:rPr>
        <w:t xml:space="preserve">To avoid this conclusion, Bennett posits our absolute, scientific knowledge of matter’s freedom, a contradiction on which her project depends. </w:t>
      </w:r>
      <w:r w:rsidR="007D4BF9">
        <w:rPr>
          <w:rFonts w:cs="Times New Roman"/>
        </w:rPr>
        <w:t>Ultimately, this absolutism requires treating our ignorance as absolute knowledge, which is perhaps the common ground of anti-correlational and anti-constructivist discourses, and a sort of last refuge for speculative thought. One</w:t>
      </w:r>
      <w:r w:rsidR="00F250DA">
        <w:rPr>
          <w:rFonts w:cs="Times New Roman"/>
        </w:rPr>
        <w:t xml:space="preserve"> finds science treated as absolute knowledge in work otherwise as heterogeneous as </w:t>
      </w:r>
      <w:proofErr w:type="spellStart"/>
      <w:r w:rsidR="00F250DA">
        <w:rPr>
          <w:rFonts w:cs="Times New Roman"/>
        </w:rPr>
        <w:t>Meillassoux’s</w:t>
      </w:r>
      <w:proofErr w:type="spellEnd"/>
      <w:r w:rsidR="00F250DA">
        <w:rPr>
          <w:rFonts w:cs="Times New Roman"/>
        </w:rPr>
        <w:t xml:space="preserve"> </w:t>
      </w:r>
      <w:r w:rsidR="00F250DA">
        <w:rPr>
          <w:rFonts w:cs="Times New Roman"/>
          <w:i/>
        </w:rPr>
        <w:t>After Finitude</w:t>
      </w:r>
      <w:r w:rsidR="00F250DA">
        <w:rPr>
          <w:rFonts w:cs="Times New Roman"/>
        </w:rPr>
        <w:t xml:space="preserve"> and Barad’s </w:t>
      </w:r>
      <w:r w:rsidR="00F250DA">
        <w:rPr>
          <w:rFonts w:cs="Times New Roman"/>
          <w:i/>
        </w:rPr>
        <w:t xml:space="preserve">Meeting the Universe Halfway, </w:t>
      </w:r>
      <w:r w:rsidR="00F250DA">
        <w:rPr>
          <w:rFonts w:cs="Times New Roman"/>
        </w:rPr>
        <w:t xml:space="preserve">though a full demonstration of this will have to be pursued elsewhere. </w:t>
      </w:r>
    </w:p>
    <w:p w14:paraId="27366B44" w14:textId="77777777" w:rsidR="00FE3DD3" w:rsidRPr="00264045" w:rsidRDefault="00FE3DD3">
      <w:pPr>
        <w:pStyle w:val="BodyA"/>
        <w:rPr>
          <w:rFonts w:cs="Times New Roman"/>
        </w:rPr>
      </w:pPr>
    </w:p>
    <w:p w14:paraId="6DBDE0C6" w14:textId="77777777" w:rsidR="00FE3DD3" w:rsidRPr="00264045" w:rsidRDefault="00C36F8C">
      <w:pPr>
        <w:pStyle w:val="BodyA"/>
        <w:jc w:val="center"/>
        <w:rPr>
          <w:rFonts w:cs="Times New Roman"/>
          <w:i/>
          <w:iCs/>
        </w:rPr>
      </w:pPr>
      <w:r w:rsidRPr="00264045">
        <w:rPr>
          <w:rFonts w:cs="Times New Roman"/>
          <w:i/>
          <w:iCs/>
        </w:rPr>
        <w:t>Life</w:t>
      </w:r>
    </w:p>
    <w:p w14:paraId="44E324E1" w14:textId="669E5AE8" w:rsidR="00FE3DD3" w:rsidRPr="00264045" w:rsidRDefault="00F20A45" w:rsidP="00C56B02">
      <w:pPr>
        <w:pStyle w:val="BodyA"/>
        <w:ind w:firstLine="720"/>
        <w:rPr>
          <w:rFonts w:cs="Times New Roman"/>
        </w:rPr>
      </w:pPr>
      <w:r>
        <w:rPr>
          <w:rFonts w:cs="Times New Roman"/>
        </w:rPr>
        <w:t xml:space="preserve">Bennett </w:t>
      </w:r>
      <w:r w:rsidR="00190D71">
        <w:rPr>
          <w:rFonts w:cs="Times New Roman"/>
        </w:rPr>
        <w:t>cites</w:t>
      </w:r>
      <w:r>
        <w:rPr>
          <w:rFonts w:cs="Times New Roman"/>
        </w:rPr>
        <w:t xml:space="preserve"> several</w:t>
      </w:r>
      <w:r w:rsidR="00C36F8C" w:rsidRPr="00264045">
        <w:rPr>
          <w:rFonts w:cs="Times New Roman"/>
        </w:rPr>
        <w:t xml:space="preserve"> </w:t>
      </w:r>
      <w:r w:rsidR="00CB620F">
        <w:rPr>
          <w:rFonts w:cs="Times New Roman"/>
        </w:rPr>
        <w:t>“critical vitalist” thinkers</w:t>
      </w:r>
      <w:r>
        <w:rPr>
          <w:rFonts w:cs="Times New Roman"/>
        </w:rPr>
        <w:t xml:space="preserve"> as stepping stones toward her vital materialism. </w:t>
      </w:r>
      <w:r w:rsidR="00190D71">
        <w:rPr>
          <w:rFonts w:cs="Times New Roman"/>
        </w:rPr>
        <w:t xml:space="preserve">Though </w:t>
      </w:r>
      <w:r>
        <w:rPr>
          <w:rFonts w:cs="Times New Roman"/>
        </w:rPr>
        <w:t xml:space="preserve">Kant, Driesch, and Bergson </w:t>
      </w:r>
      <w:r w:rsidR="00190D71">
        <w:rPr>
          <w:rFonts w:cs="Times New Roman"/>
        </w:rPr>
        <w:t>still</w:t>
      </w:r>
      <w:r w:rsidR="00C36F8C" w:rsidRPr="00264045">
        <w:rPr>
          <w:rFonts w:cs="Times New Roman"/>
        </w:rPr>
        <w:t xml:space="preserve"> separate the vital force from matter, </w:t>
      </w:r>
      <w:r w:rsidR="00190D71">
        <w:rPr>
          <w:rFonts w:cs="Times New Roman"/>
        </w:rPr>
        <w:t>they</w:t>
      </w:r>
      <w:r w:rsidR="00C36F8C" w:rsidRPr="00264045">
        <w:rPr>
          <w:rFonts w:cs="Times New Roman"/>
        </w:rPr>
        <w:t xml:space="preserve"> nonetheless </w:t>
      </w:r>
      <w:r w:rsidR="00DC30C8">
        <w:rPr>
          <w:rFonts w:cs="Times New Roman"/>
        </w:rPr>
        <w:t>refuse</w:t>
      </w:r>
      <w:r w:rsidR="00C36F8C" w:rsidRPr="00264045">
        <w:rPr>
          <w:rFonts w:cs="Times New Roman"/>
        </w:rPr>
        <w:t xml:space="preserve"> to posit it in a spirit independent of matter. </w:t>
      </w:r>
      <w:r>
        <w:rPr>
          <w:rFonts w:cs="Times New Roman"/>
        </w:rPr>
        <w:t xml:space="preserve">They </w:t>
      </w:r>
      <w:r w:rsidR="005555C9" w:rsidRPr="00264045">
        <w:rPr>
          <w:rFonts w:cs="Times New Roman"/>
        </w:rPr>
        <w:t xml:space="preserve">attempt in this way to </w:t>
      </w:r>
      <w:r w:rsidR="005C5711" w:rsidRPr="00264045">
        <w:rPr>
          <w:rFonts w:cs="Times New Roman"/>
        </w:rPr>
        <w:t xml:space="preserve">navigate the </w:t>
      </w:r>
      <w:r w:rsidR="009D26EE">
        <w:rPr>
          <w:rFonts w:cs="Times New Roman"/>
        </w:rPr>
        <w:t>concept of life, whose traditional positions are all aporetic:</w:t>
      </w:r>
      <w:r w:rsidR="005555C9" w:rsidRPr="00264045">
        <w:rPr>
          <w:rFonts w:cs="Times New Roman"/>
        </w:rPr>
        <w:t xml:space="preserve"> 1) </w:t>
      </w:r>
      <w:r w:rsidR="005C5711" w:rsidRPr="00264045">
        <w:rPr>
          <w:rFonts w:cs="Times New Roman"/>
        </w:rPr>
        <w:t>vitalism,</w:t>
      </w:r>
      <w:r w:rsidR="005555C9" w:rsidRPr="00264045">
        <w:rPr>
          <w:rFonts w:cs="Times New Roman"/>
        </w:rPr>
        <w:t xml:space="preserve"> which posits life in an immaterial force (soul, spirit, mind, etc.), leaves unanswered how this immateriality interfaces with matter to produce its effects, 2)</w:t>
      </w:r>
      <w:r w:rsidR="005C5711" w:rsidRPr="00264045">
        <w:rPr>
          <w:rFonts w:cs="Times New Roman"/>
        </w:rPr>
        <w:t xml:space="preserve"> </w:t>
      </w:r>
      <w:r w:rsidR="006E0D01" w:rsidRPr="00264045">
        <w:rPr>
          <w:rFonts w:cs="Times New Roman"/>
        </w:rPr>
        <w:t xml:space="preserve">hylozoism, </w:t>
      </w:r>
      <w:r w:rsidR="005C5711" w:rsidRPr="00264045">
        <w:rPr>
          <w:rFonts w:cs="Times New Roman"/>
        </w:rPr>
        <w:t>whi</w:t>
      </w:r>
      <w:r w:rsidR="008C5A83" w:rsidRPr="00264045">
        <w:rPr>
          <w:rFonts w:cs="Times New Roman"/>
        </w:rPr>
        <w:t>ch posits</w:t>
      </w:r>
      <w:r w:rsidR="00C56B02" w:rsidRPr="00264045">
        <w:rPr>
          <w:rFonts w:cs="Times New Roman"/>
        </w:rPr>
        <w:t xml:space="preserve"> the life force immediately in matter</w:t>
      </w:r>
      <w:r w:rsidR="006E0D01" w:rsidRPr="00264045">
        <w:rPr>
          <w:rFonts w:cs="Times New Roman"/>
        </w:rPr>
        <w:t xml:space="preserve">, </w:t>
      </w:r>
      <w:r w:rsidR="008C5A83" w:rsidRPr="00264045">
        <w:rPr>
          <w:rFonts w:cs="Times New Roman"/>
        </w:rPr>
        <w:t>only defers</w:t>
      </w:r>
      <w:r w:rsidR="005C5711" w:rsidRPr="00264045">
        <w:rPr>
          <w:rFonts w:cs="Times New Roman"/>
        </w:rPr>
        <w:t xml:space="preserve"> </w:t>
      </w:r>
      <w:r w:rsidR="008C5A83" w:rsidRPr="00264045">
        <w:rPr>
          <w:rFonts w:cs="Times New Roman"/>
        </w:rPr>
        <w:t xml:space="preserve">the question of how this </w:t>
      </w:r>
      <w:r w:rsidR="00715928">
        <w:rPr>
          <w:rFonts w:cs="Times New Roman"/>
        </w:rPr>
        <w:t>self-relation is possible</w:t>
      </w:r>
      <w:r w:rsidR="008C5A83" w:rsidRPr="00264045">
        <w:rPr>
          <w:rFonts w:cs="Times New Roman"/>
        </w:rPr>
        <w:t xml:space="preserve">, and 3) mechanism, which accounts for the phenomena of life through </w:t>
      </w:r>
      <w:proofErr w:type="spellStart"/>
      <w:r w:rsidR="008C5A83" w:rsidRPr="00264045">
        <w:rPr>
          <w:rFonts w:cs="Times New Roman"/>
        </w:rPr>
        <w:t>physico</w:t>
      </w:r>
      <w:proofErr w:type="spellEnd"/>
      <w:r w:rsidR="008C5A83" w:rsidRPr="00264045">
        <w:rPr>
          <w:rFonts w:cs="Times New Roman"/>
        </w:rPr>
        <w:t xml:space="preserve">-chemical causality, </w:t>
      </w:r>
      <w:r w:rsidR="0038118F" w:rsidRPr="00264045">
        <w:rPr>
          <w:rFonts w:cs="Times New Roman"/>
        </w:rPr>
        <w:t>less</w:t>
      </w:r>
      <w:r w:rsidR="008C5A83" w:rsidRPr="00264045">
        <w:rPr>
          <w:rFonts w:cs="Times New Roman"/>
        </w:rPr>
        <w:t xml:space="preserve"> explains </w:t>
      </w:r>
      <w:r w:rsidR="0038118F" w:rsidRPr="00264045">
        <w:rPr>
          <w:rFonts w:cs="Times New Roman"/>
        </w:rPr>
        <w:t xml:space="preserve">than explains </w:t>
      </w:r>
      <w:r w:rsidR="008C5A83" w:rsidRPr="00264045">
        <w:rPr>
          <w:rFonts w:cs="Times New Roman"/>
        </w:rPr>
        <w:t>away life.</w:t>
      </w:r>
      <w:r w:rsidR="00C36F8C" w:rsidRPr="00264045">
        <w:rPr>
          <w:rFonts w:cs="Times New Roman"/>
        </w:rPr>
        <w:t xml:space="preserve"> Bennett claims to find both ontological and ethical reasons to support the critical gesture that brings life closer to matter; however, she </w:t>
      </w:r>
      <w:r w:rsidR="00771EAA" w:rsidRPr="00264045">
        <w:rPr>
          <w:rFonts w:cs="Times New Roman"/>
        </w:rPr>
        <w:t>attempts</w:t>
      </w:r>
      <w:r w:rsidR="00090368" w:rsidRPr="00264045">
        <w:rPr>
          <w:rFonts w:cs="Times New Roman"/>
        </w:rPr>
        <w:t xml:space="preserve"> </w:t>
      </w:r>
      <w:r w:rsidR="00771EAA" w:rsidRPr="00264045">
        <w:rPr>
          <w:rFonts w:cs="Times New Roman"/>
        </w:rPr>
        <w:t>to identify</w:t>
      </w:r>
      <w:r w:rsidR="00C36F8C" w:rsidRPr="00264045">
        <w:rPr>
          <w:rFonts w:cs="Times New Roman"/>
        </w:rPr>
        <w:t xml:space="preserve"> vitality and materiality</w:t>
      </w:r>
      <w:r w:rsidR="00090368" w:rsidRPr="00264045">
        <w:rPr>
          <w:rFonts w:cs="Times New Roman"/>
        </w:rPr>
        <w:t xml:space="preserve"> without considering these aporias,</w:t>
      </w:r>
      <w:r w:rsidR="00C36F8C" w:rsidRPr="00264045">
        <w:rPr>
          <w:rFonts w:cs="Times New Roman"/>
        </w:rPr>
        <w:t xml:space="preserve"> </w:t>
      </w:r>
      <w:r w:rsidR="00090368" w:rsidRPr="00264045">
        <w:rPr>
          <w:rFonts w:cs="Times New Roman"/>
        </w:rPr>
        <w:t>effacing</w:t>
      </w:r>
      <w:r w:rsidR="00C36F8C" w:rsidRPr="00264045">
        <w:rPr>
          <w:rFonts w:cs="Times New Roman"/>
        </w:rPr>
        <w:t xml:space="preserve"> something fundamental about the concepts in play.</w:t>
      </w:r>
    </w:p>
    <w:p w14:paraId="590A9B76" w14:textId="1012FB08" w:rsidR="00FE3DD3" w:rsidRDefault="00C36F8C">
      <w:pPr>
        <w:pStyle w:val="BodyA"/>
        <w:rPr>
          <w:rFonts w:cs="Times New Roman"/>
        </w:rPr>
      </w:pPr>
      <w:r w:rsidRPr="00264045">
        <w:rPr>
          <w:rFonts w:cs="Times New Roman"/>
        </w:rPr>
        <w:tab/>
        <w:t xml:space="preserve">Life </w:t>
      </w:r>
      <w:r w:rsidR="00AC0C02" w:rsidRPr="00264045">
        <w:rPr>
          <w:rFonts w:cs="Times New Roman"/>
        </w:rPr>
        <w:t>cannot be identified with a</w:t>
      </w:r>
      <w:r w:rsidRPr="00264045">
        <w:rPr>
          <w:rFonts w:cs="Times New Roman"/>
        </w:rPr>
        <w:t xml:space="preserve"> </w:t>
      </w:r>
      <w:proofErr w:type="gramStart"/>
      <w:r w:rsidRPr="00264045">
        <w:rPr>
          <w:rFonts w:cs="Times New Roman"/>
        </w:rPr>
        <w:t>substance</w:t>
      </w:r>
      <w:r w:rsidR="006D49C7" w:rsidRPr="00264045">
        <w:rPr>
          <w:rFonts w:cs="Times New Roman"/>
        </w:rPr>
        <w:t>, but</w:t>
      </w:r>
      <w:proofErr w:type="gramEnd"/>
      <w:r w:rsidR="006D49C7" w:rsidRPr="00264045">
        <w:rPr>
          <w:rFonts w:cs="Times New Roman"/>
        </w:rPr>
        <w:t xml:space="preserve"> requires </w:t>
      </w:r>
      <w:r w:rsidR="009D26EE">
        <w:rPr>
          <w:rFonts w:cs="Times New Roman"/>
        </w:rPr>
        <w:t xml:space="preserve">the </w:t>
      </w:r>
      <w:r w:rsidR="006D49C7" w:rsidRPr="00264045">
        <w:rPr>
          <w:rFonts w:cs="Times New Roman"/>
        </w:rPr>
        <w:t xml:space="preserve">difference of form </w:t>
      </w:r>
      <w:r w:rsidR="001B5673">
        <w:rPr>
          <w:rFonts w:cs="Times New Roman"/>
        </w:rPr>
        <w:t xml:space="preserve">for its </w:t>
      </w:r>
      <w:r w:rsidR="006D49C7" w:rsidRPr="00264045">
        <w:rPr>
          <w:rFonts w:cs="Times New Roman"/>
        </w:rPr>
        <w:t>appear</w:t>
      </w:r>
      <w:r w:rsidR="001B5673">
        <w:rPr>
          <w:rFonts w:cs="Times New Roman"/>
        </w:rPr>
        <w:t>ance</w:t>
      </w:r>
      <w:r w:rsidR="006D49C7" w:rsidRPr="00264045">
        <w:rPr>
          <w:rFonts w:cs="Times New Roman"/>
        </w:rPr>
        <w:t>. I</w:t>
      </w:r>
      <w:r w:rsidRPr="00264045">
        <w:rPr>
          <w:rFonts w:cs="Times New Roman"/>
        </w:rPr>
        <w:t>f there were not an order governed by repetition (that of classical mechanics), or one that trended toward indifference (thermodynamics) or decay (death), life would have no background on which to appear as the realm of self-organi</w:t>
      </w:r>
      <w:r w:rsidR="00715928">
        <w:rPr>
          <w:rFonts w:cs="Times New Roman"/>
        </w:rPr>
        <w:t>z</w:t>
      </w:r>
      <w:r w:rsidRPr="00264045">
        <w:rPr>
          <w:rFonts w:cs="Times New Roman"/>
        </w:rPr>
        <w:t xml:space="preserve">ation. In other words, life never appears as such. We must represent some substrate as constrained in itself, in order to present ourselves with the phenomenon of its diverted course. Life is the external agency posited behind this phenomenon as the force bending matter to its will. When we look for life, nonetheless, we find only the law-governed motions of matter, for this is the essence of scientific explanation. </w:t>
      </w:r>
      <w:r w:rsidR="00AC0C02" w:rsidRPr="00264045">
        <w:rPr>
          <w:rFonts w:cs="Times New Roman"/>
        </w:rPr>
        <w:t>T</w:t>
      </w:r>
      <w:r w:rsidRPr="00264045">
        <w:rPr>
          <w:rFonts w:cs="Times New Roman"/>
        </w:rPr>
        <w:t xml:space="preserve">he more we can explain life in terms of </w:t>
      </w:r>
      <w:proofErr w:type="spellStart"/>
      <w:r w:rsidRPr="00264045">
        <w:rPr>
          <w:rFonts w:cs="Times New Roman"/>
        </w:rPr>
        <w:t>physico</w:t>
      </w:r>
      <w:proofErr w:type="spellEnd"/>
      <w:r w:rsidRPr="00264045">
        <w:rPr>
          <w:rFonts w:cs="Times New Roman"/>
        </w:rPr>
        <w:t xml:space="preserve">-chemical laws, the further we are from </w:t>
      </w:r>
      <w:r w:rsidRPr="00264045">
        <w:rPr>
          <w:rFonts w:cs="Times New Roman"/>
        </w:rPr>
        <w:lastRenderedPageBreak/>
        <w:t>understanding that life whose principle is self-organi</w:t>
      </w:r>
      <w:r w:rsidR="00715928">
        <w:rPr>
          <w:rFonts w:cs="Times New Roman"/>
        </w:rPr>
        <w:t>z</w:t>
      </w:r>
      <w:r w:rsidRPr="00264045">
        <w:rPr>
          <w:rFonts w:cs="Times New Roman"/>
        </w:rPr>
        <w:t xml:space="preserve">ation, </w:t>
      </w:r>
      <w:r w:rsidRPr="00264045">
        <w:rPr>
          <w:rFonts w:cs="Times New Roman"/>
          <w:i/>
          <w:iCs/>
        </w:rPr>
        <w:t>if there is any</w:t>
      </w:r>
      <w:r w:rsidRPr="00264045">
        <w:rPr>
          <w:rFonts w:cs="Times New Roman"/>
        </w:rPr>
        <w:t>. When Bennett proposes to attribute life, freedom, spontaneity</w:t>
      </w:r>
      <w:r w:rsidR="00715928">
        <w:rPr>
          <w:rFonts w:cs="Times New Roman"/>
        </w:rPr>
        <w:t>,</w:t>
      </w:r>
      <w:r w:rsidRPr="00264045">
        <w:rPr>
          <w:rFonts w:cs="Times New Roman"/>
        </w:rPr>
        <w:t xml:space="preserve"> and invention to all matter, she proposes the disappearance of all life, and all science. I agree with her gesture to this extent, that the assertion of matter’s determinism (as it appears in Kant, Bergson, Driesch</w:t>
      </w:r>
      <w:r w:rsidR="00715928">
        <w:rPr>
          <w:rFonts w:cs="Times New Roman"/>
        </w:rPr>
        <w:t>,</w:t>
      </w:r>
      <w:r w:rsidRPr="00264045">
        <w:rPr>
          <w:rFonts w:cs="Times New Roman"/>
        </w:rPr>
        <w:t xml:space="preserve"> and an entire tradition) is </w:t>
      </w:r>
      <w:r w:rsidR="00426C62">
        <w:rPr>
          <w:rFonts w:cs="Times New Roman"/>
        </w:rPr>
        <w:t>metaphysical</w:t>
      </w:r>
      <w:r w:rsidRPr="00264045">
        <w:rPr>
          <w:rFonts w:cs="Times New Roman"/>
        </w:rPr>
        <w:t xml:space="preserve">. However, we should not rush toward an equally dogmatic reversal that imagines an </w:t>
      </w:r>
      <w:proofErr w:type="spellStart"/>
      <w:r w:rsidRPr="00264045">
        <w:rPr>
          <w:rFonts w:cs="Times New Roman"/>
        </w:rPr>
        <w:t>empirico</w:t>
      </w:r>
      <w:proofErr w:type="spellEnd"/>
      <w:r w:rsidRPr="00264045">
        <w:rPr>
          <w:rFonts w:cs="Times New Roman"/>
        </w:rPr>
        <w:t>-positivistic or scientific status for vital matter.</w:t>
      </w:r>
      <w:r w:rsidR="002E1B61" w:rsidRPr="00264045">
        <w:rPr>
          <w:rStyle w:val="EndnoteReference"/>
          <w:rFonts w:cs="Times New Roman"/>
        </w:rPr>
        <w:endnoteReference w:id="13"/>
      </w:r>
    </w:p>
    <w:p w14:paraId="43352B43" w14:textId="60BD650A" w:rsidR="0074763B" w:rsidRDefault="0074763B">
      <w:pPr>
        <w:pStyle w:val="BodyA"/>
        <w:rPr>
          <w:rFonts w:cs="Times New Roman"/>
        </w:rPr>
      </w:pPr>
      <w:r>
        <w:rPr>
          <w:rFonts w:cs="Times New Roman"/>
        </w:rPr>
        <w:tab/>
      </w:r>
      <w:r w:rsidR="00B86435">
        <w:rPr>
          <w:rFonts w:cs="Times New Roman"/>
        </w:rPr>
        <w:t xml:space="preserve">There are necessary reasons why life stands in an awkward relationship with scientific inquiry. </w:t>
      </w:r>
      <w:r w:rsidR="00AF104D">
        <w:rPr>
          <w:rFonts w:cs="Times New Roman"/>
        </w:rPr>
        <w:t xml:space="preserve">Science can discover only mechanical causality, the causality of a part toward another part, and of </w:t>
      </w:r>
      <w:proofErr w:type="spellStart"/>
      <w:proofErr w:type="gramStart"/>
      <w:r w:rsidR="00AF104D">
        <w:rPr>
          <w:rFonts w:cs="Times New Roman"/>
        </w:rPr>
        <w:t>an other</w:t>
      </w:r>
      <w:proofErr w:type="spellEnd"/>
      <w:proofErr w:type="gramEnd"/>
      <w:r w:rsidR="00AF104D">
        <w:rPr>
          <w:rFonts w:cs="Times New Roman"/>
        </w:rPr>
        <w:t xml:space="preserve"> toward its other. The concept of life is inimical to this investigation, because it is the concept of a whole that determines its parts, and which institutes the wholeness of that whole, the self, by being its own cause</w:t>
      </w:r>
      <w:r w:rsidR="004B695F">
        <w:rPr>
          <w:rFonts w:cs="Times New Roman"/>
        </w:rPr>
        <w:t xml:space="preserve"> and effect</w:t>
      </w:r>
      <w:r w:rsidR="00AF104D">
        <w:rPr>
          <w:rFonts w:cs="Times New Roman"/>
        </w:rPr>
        <w:t xml:space="preserve">. </w:t>
      </w:r>
      <w:r w:rsidR="00D01A55">
        <w:rPr>
          <w:rFonts w:cs="Times New Roman"/>
        </w:rPr>
        <w:t>As a result, a scientific investigation that would like to uncover a vitalist agency at work cannot do so by finding a cause but</w:t>
      </w:r>
      <w:r w:rsidR="001A1D41">
        <w:rPr>
          <w:rFonts w:cs="Times New Roman"/>
        </w:rPr>
        <w:t xml:space="preserve"> only</w:t>
      </w:r>
      <w:r w:rsidR="00D01A55">
        <w:rPr>
          <w:rFonts w:cs="Times New Roman"/>
        </w:rPr>
        <w:t xml:space="preserve"> by claiming that no cause can be found. </w:t>
      </w:r>
      <w:r w:rsidR="009E709B">
        <w:rPr>
          <w:rFonts w:cs="Times New Roman"/>
        </w:rPr>
        <w:t>Vitalism</w:t>
      </w:r>
      <w:r w:rsidR="002359D0">
        <w:rPr>
          <w:rFonts w:cs="Times New Roman"/>
        </w:rPr>
        <w:t xml:space="preserve"> is not based on a positive scientific </w:t>
      </w:r>
      <w:proofErr w:type="gramStart"/>
      <w:r w:rsidR="002359D0">
        <w:rPr>
          <w:rFonts w:cs="Times New Roman"/>
        </w:rPr>
        <w:t>knowledge, but</w:t>
      </w:r>
      <w:proofErr w:type="gramEnd"/>
      <w:r w:rsidR="002359D0">
        <w:rPr>
          <w:rFonts w:cs="Times New Roman"/>
        </w:rPr>
        <w:t xml:space="preserve"> is attributed only where science has not yet explained it away. Driesch’s “empirical” investigations, and the conclusions Bennett bases on them, are examples of this aporia of science and life. </w:t>
      </w:r>
    </w:p>
    <w:p w14:paraId="658F2F1C" w14:textId="265B65C8" w:rsidR="003600B8" w:rsidRDefault="00764CA6" w:rsidP="00FA34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tab/>
      </w:r>
      <w:r w:rsidR="008B68BD" w:rsidRPr="00125673">
        <w:t xml:space="preserve">In part because of </w:t>
      </w:r>
      <w:r w:rsidR="005602C7">
        <w:t>life’s resistance</w:t>
      </w:r>
      <w:r w:rsidR="0076403B" w:rsidRPr="00125673">
        <w:t xml:space="preserve"> to empirical observation, its position oscillates in </w:t>
      </w:r>
      <w:r w:rsidR="005602C7">
        <w:t>Bennett’s</w:t>
      </w:r>
      <w:r w:rsidR="0076403B" w:rsidRPr="00125673">
        <w:t xml:space="preserve"> discourse. On the one hand, she describes all matter as “lively” (xvii, </w:t>
      </w:r>
      <w:r w:rsidR="0076403B" w:rsidRPr="00125673">
        <w:rPr>
          <w:i/>
        </w:rPr>
        <w:t>passim</w:t>
      </w:r>
      <w:r w:rsidR="0076403B" w:rsidRPr="00125673">
        <w:t xml:space="preserve">), “alive” (117), and of course vital. While these attributions seem to suggest that life is present in all matter, </w:t>
      </w:r>
      <w:r w:rsidR="00125673">
        <w:t>there are other formulations that suggest life itself must be kept at a distance in order to allow the vitality of matter to appear,</w:t>
      </w:r>
      <w:r w:rsidR="00205216">
        <w:t xml:space="preserve"> </w:t>
      </w:r>
      <w:r w:rsidR="00104F83">
        <w:t xml:space="preserve">“picture an ontological field without any unequivocal demarcations between human, animal, vegetable, or mineral […] </w:t>
      </w:r>
      <w:r w:rsidR="00205216">
        <w:t xml:space="preserve">its differentiations are too protean and diverse to coincide exclusively with the philosophical categories of life, matter, </w:t>
      </w:r>
      <w:r w:rsidR="00205216">
        <w:lastRenderedPageBreak/>
        <w:t xml:space="preserve">mental, environmental” </w:t>
      </w:r>
      <w:r w:rsidR="009B0961">
        <w:t xml:space="preserve">(Bennett </w:t>
      </w:r>
      <w:r w:rsidR="00104F83">
        <w:t>116-</w:t>
      </w:r>
      <w:r w:rsidR="009B0961">
        <w:t>7).</w:t>
      </w:r>
      <w:r w:rsidR="001477A8">
        <w:t xml:space="preserve"> It would be easy enough to account for this oscillating role of the term “life” if it were simply a matter of saying that Bennett wants to wed life to matter </w:t>
      </w:r>
      <w:proofErr w:type="gramStart"/>
      <w:r w:rsidR="001477A8">
        <w:t>itself, and</w:t>
      </w:r>
      <w:proofErr w:type="gramEnd"/>
      <w:r w:rsidR="001477A8">
        <w:t xml:space="preserve"> takes precautions lest the vitalist implication of an extra-material force or even a personal soul were to intrude. But the trouble returns if we recognize that the properties of this vitality without life, (agency, activity, freedom, creativity, self-organization, etc.) are impossible without the sort of difference that </w:t>
      </w:r>
      <w:r w:rsidR="00F23DA9">
        <w:t xml:space="preserve">separated the </w:t>
      </w:r>
      <w:r w:rsidR="001477A8">
        <w:t>vitalis</w:t>
      </w:r>
      <w:r w:rsidR="00F23DA9">
        <w:t>t spirit</w:t>
      </w:r>
      <w:r w:rsidR="00341311">
        <w:t xml:space="preserve"> from matter</w:t>
      </w:r>
      <w:r w:rsidR="001477A8">
        <w:t>.</w:t>
      </w:r>
      <w:r w:rsidR="00372DE5">
        <w:t xml:space="preserve"> No activity without passivity, no creativity without the object </w:t>
      </w:r>
      <w:r w:rsidR="00D82702">
        <w:t>formed</w:t>
      </w:r>
      <w:r w:rsidR="00372DE5">
        <w:t xml:space="preserve"> by the agent, even or especially when that object is the self</w:t>
      </w:r>
      <w:r w:rsidR="001477A8">
        <w:t xml:space="preserve"> </w:t>
      </w:r>
      <w:r w:rsidR="00372DE5">
        <w:t>itself, which thus must contain the other or the non-vital, the fatal, as a moment within itself</w:t>
      </w:r>
      <w:r w:rsidR="000B171C">
        <w:t xml:space="preserve">. It </w:t>
      </w:r>
      <w:r w:rsidR="0074763B">
        <w:t xml:space="preserve">must be </w:t>
      </w:r>
      <w:r w:rsidR="0074763B">
        <w:rPr>
          <w:i/>
          <w:iCs/>
        </w:rPr>
        <w:t>life death</w:t>
      </w:r>
      <w:r w:rsidR="00372DE5">
        <w:t xml:space="preserve">. </w:t>
      </w:r>
      <w:r w:rsidR="00A4397E">
        <w:t>These differences return to haunt every New Materialist discourse that would like to universalize vitality, a gesture that can be found, for example, in the work of Karen Barad and Cath</w:t>
      </w:r>
      <w:r w:rsidR="000B171C">
        <w:t>e</w:t>
      </w:r>
      <w:r w:rsidR="00A4397E">
        <w:t xml:space="preserve">rine </w:t>
      </w:r>
      <w:proofErr w:type="spellStart"/>
      <w:r w:rsidR="00A4397E">
        <w:t>Malabou</w:t>
      </w:r>
      <w:proofErr w:type="spellEnd"/>
      <w:r w:rsidR="00A4397E">
        <w:t>.</w:t>
      </w:r>
      <w:r w:rsidR="00B73DC8">
        <w:rPr>
          <w:rStyle w:val="EndnoteReference"/>
        </w:rPr>
        <w:endnoteReference w:id="14"/>
      </w:r>
      <w:r w:rsidR="00A4397E">
        <w:t xml:space="preserve"> </w:t>
      </w:r>
      <w:r w:rsidR="00023D43">
        <w:t xml:space="preserve">Bennett acknowledges this </w:t>
      </w:r>
      <w:r w:rsidR="000B171C">
        <w:t xml:space="preserve">difference </w:t>
      </w:r>
      <w:r w:rsidR="00023D43">
        <w:t>without acknowledging it when she divides the figure of nature into a “brute matter” and a “generativity,” into “</w:t>
      </w:r>
      <w:proofErr w:type="spellStart"/>
      <w:r w:rsidR="00023D43" w:rsidRPr="00023D43">
        <w:rPr>
          <w:i/>
        </w:rPr>
        <w:t>natura</w:t>
      </w:r>
      <w:proofErr w:type="spellEnd"/>
      <w:r w:rsidR="00023D43" w:rsidRPr="00023D43">
        <w:rPr>
          <w:i/>
        </w:rPr>
        <w:t xml:space="preserve"> naturata</w:t>
      </w:r>
      <w:r w:rsidR="00023D43">
        <w:t>” and “</w:t>
      </w:r>
      <w:proofErr w:type="spellStart"/>
      <w:r w:rsidR="00023D43" w:rsidRPr="00023D43">
        <w:rPr>
          <w:i/>
        </w:rPr>
        <w:t>natura</w:t>
      </w:r>
      <w:proofErr w:type="spellEnd"/>
      <w:r w:rsidR="00023D43" w:rsidRPr="00023D43">
        <w:rPr>
          <w:i/>
        </w:rPr>
        <w:t xml:space="preserve"> </w:t>
      </w:r>
      <w:proofErr w:type="spellStart"/>
      <w:r w:rsidR="00023D43" w:rsidRPr="00023D43">
        <w:rPr>
          <w:i/>
        </w:rPr>
        <w:t>naturans</w:t>
      </w:r>
      <w:proofErr w:type="spellEnd"/>
      <w:r w:rsidR="00023D43">
        <w:t>” (117).</w:t>
      </w:r>
      <w:r w:rsidR="00125673">
        <w:t xml:space="preserve"> </w:t>
      </w:r>
      <w:r w:rsidR="00C17A8D">
        <w:t xml:space="preserve">She would like to keep only the active half of these divisions, but each is impossible without its counterpart. The implication, of course, is that life (or vitality, or any of its predicates) is not </w:t>
      </w:r>
      <w:r w:rsidR="00C17A8D">
        <w:rPr>
          <w:i/>
        </w:rPr>
        <w:t>immediately</w:t>
      </w:r>
      <w:r w:rsidR="00C17A8D">
        <w:t xml:space="preserve"> matter, but emerges from differences of matter, in which certain matter comes to make itself more vital by its difference from or suppression of some “brute” matter. </w:t>
      </w:r>
      <w:r w:rsidR="003600B8">
        <w:t>At times, Bennett’s discourse acknowledges this more than she might like, “All forces and flows (</w:t>
      </w:r>
      <w:proofErr w:type="spellStart"/>
      <w:r w:rsidR="003600B8">
        <w:t>materialities</w:t>
      </w:r>
      <w:proofErr w:type="spellEnd"/>
      <w:r w:rsidR="003600B8">
        <w:t xml:space="preserve">) are </w:t>
      </w:r>
      <w:r w:rsidR="003600B8" w:rsidRPr="003600B8">
        <w:rPr>
          <w:i/>
        </w:rPr>
        <w:t>or can become</w:t>
      </w:r>
      <w:r w:rsidR="003600B8">
        <w:t xml:space="preserve"> lively, affective, and signaling” (117, my emphasis).</w:t>
      </w:r>
    </w:p>
    <w:p w14:paraId="06FAE1E6" w14:textId="6F4E46DE" w:rsidR="00FE3DD3" w:rsidRPr="00264045" w:rsidRDefault="003600B8" w:rsidP="00D642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tab/>
        <w:t xml:space="preserve">The violence implied in this becoming-alive, which is the very violence of the metaphysical concepts Bennett </w:t>
      </w:r>
      <w:r w:rsidR="00926249">
        <w:t>uses to define</w:t>
      </w:r>
      <w:r>
        <w:t xml:space="preserve"> life (activity vs. the passive, etc.), has dangerous repercussions for the ethical impetus of her discourse.</w:t>
      </w:r>
      <w:r w:rsidR="00056E14">
        <w:t xml:space="preserve"> </w:t>
      </w:r>
      <w:r w:rsidR="00B307D7">
        <w:t xml:space="preserve">She claims that </w:t>
      </w:r>
      <w:r w:rsidR="005F053B">
        <w:t xml:space="preserve">vital materialism can level the </w:t>
      </w:r>
      <w:r w:rsidR="00B307D7">
        <w:t xml:space="preserve">hierarchy among beings </w:t>
      </w:r>
      <w:r w:rsidR="005F053B">
        <w:t>implied by vitalism</w:t>
      </w:r>
      <w:r w:rsidR="00B307D7">
        <w:t>, “Materiality is a rubric that</w:t>
      </w:r>
      <w:r w:rsidR="005F053B">
        <w:t xml:space="preserve"> </w:t>
      </w:r>
      <w:r w:rsidR="00B307D7">
        <w:t xml:space="preserve">tends to </w:t>
      </w:r>
      <w:r w:rsidR="00B307D7">
        <w:lastRenderedPageBreak/>
        <w:t xml:space="preserve">horizontalize the relations between humans, biota, and </w:t>
      </w:r>
      <w:proofErr w:type="spellStart"/>
      <w:r w:rsidR="00B307D7">
        <w:t>abiota</w:t>
      </w:r>
      <w:proofErr w:type="spellEnd"/>
      <w:r w:rsidR="00B307D7">
        <w:t xml:space="preserve">” (Bennett 112). </w:t>
      </w:r>
      <w:r w:rsidR="00DE4F90">
        <w:t>So, she stages a debate between Hans Driesch, a critical vitalist (proto-vital-materialist)</w:t>
      </w:r>
      <w:r w:rsidR="00D64291">
        <w:t xml:space="preserve"> </w:t>
      </w:r>
      <w:r w:rsidR="00E27103">
        <w:t xml:space="preserve">and </w:t>
      </w:r>
      <w:r w:rsidR="00D64291">
        <w:t>the spiritualism of the culture of life</w:t>
      </w:r>
      <w:r w:rsidR="00E27103">
        <w:t>, which</w:t>
      </w:r>
      <w:r w:rsidR="00D64291">
        <w:t xml:space="preserve"> opposes stem cell research and abortion while sanctioning warfare</w:t>
      </w:r>
      <w:r w:rsidR="00EE50AE">
        <w:t xml:space="preserve">. </w:t>
      </w:r>
      <w:r w:rsidR="00FE4AAF">
        <w:t>The culture of life leads to such (un)ethical conclusions</w:t>
      </w:r>
      <w:r w:rsidR="00D64291">
        <w:t xml:space="preserve"> because, according to Bennett, </w:t>
      </w:r>
      <w:r w:rsidR="007C46B8">
        <w:t xml:space="preserve">it </w:t>
      </w:r>
      <w:r w:rsidR="00D64291">
        <w:t xml:space="preserve">transfers hierarchies between the </w:t>
      </w:r>
      <w:r w:rsidR="00C36F8C" w:rsidRPr="00264045">
        <w:t>human and other forms of life</w:t>
      </w:r>
      <w:r w:rsidR="00D64291">
        <w:t xml:space="preserve"> to hierarchies among different groups of humans</w:t>
      </w:r>
      <w:r w:rsidR="00A92A24">
        <w:t xml:space="preserve">. </w:t>
      </w:r>
      <w:r w:rsidR="003D5662">
        <w:t>The other danger of the culture of life is its faith-based premises, Bennett suggests, which render t</w:t>
      </w:r>
      <w:r w:rsidR="00C36F8C" w:rsidRPr="00264045">
        <w:t xml:space="preserve">his </w:t>
      </w:r>
      <w:r w:rsidR="0085576A">
        <w:t>violent hierarchy</w:t>
      </w:r>
      <w:r w:rsidR="00C36F8C" w:rsidRPr="00264045">
        <w:t xml:space="preserve"> incontesta</w:t>
      </w:r>
      <w:r w:rsidR="00AE2BA0">
        <w:t>b</w:t>
      </w:r>
      <w:r w:rsidR="00C36F8C" w:rsidRPr="00264045">
        <w:t>l</w:t>
      </w:r>
      <w:r w:rsidR="003D5662">
        <w:t>e</w:t>
      </w:r>
      <w:r w:rsidR="00C36F8C" w:rsidRPr="00264045">
        <w:t xml:space="preserve">. She </w:t>
      </w:r>
      <w:r w:rsidR="009D1F30">
        <w:t>argues</w:t>
      </w:r>
      <w:r w:rsidR="00C36F8C" w:rsidRPr="00264045">
        <w:t xml:space="preserve"> that Driesch offers an empirical, falsifiable method for studying life, and one which undermines any hierarchy among the living. </w:t>
      </w:r>
    </w:p>
    <w:p w14:paraId="61B8FAD6" w14:textId="6031D2C4" w:rsidR="00FE3DD3" w:rsidRPr="00264045" w:rsidRDefault="00C36F8C">
      <w:pPr>
        <w:pStyle w:val="BodyA"/>
        <w:rPr>
          <w:rFonts w:cs="Times New Roman"/>
        </w:rPr>
      </w:pPr>
      <w:r w:rsidRPr="00264045">
        <w:rPr>
          <w:rFonts w:cs="Times New Roman"/>
        </w:rPr>
        <w:tab/>
        <w:t>But is Driesch’s vitalism</w:t>
      </w:r>
      <w:r w:rsidR="006D49C7" w:rsidRPr="00264045">
        <w:rPr>
          <w:rFonts w:cs="Times New Roman"/>
        </w:rPr>
        <w:t xml:space="preserve"> truly empirical? Bennett </w:t>
      </w:r>
      <w:r w:rsidRPr="00264045">
        <w:rPr>
          <w:rFonts w:cs="Times New Roman"/>
        </w:rPr>
        <w:t xml:space="preserve">makes the claim: </w:t>
      </w:r>
      <w:r w:rsidR="007B419C">
        <w:rPr>
          <w:rFonts w:cs="Times New Roman"/>
        </w:rPr>
        <w:t>“</w:t>
      </w:r>
      <w:r w:rsidRPr="00264045">
        <w:rPr>
          <w:rFonts w:cs="Times New Roman"/>
        </w:rPr>
        <w:t>Driesch’s greater identification with and immersion in the techniques of experimental science may offer the advantage of better protection against the temptation in vitalism t</w:t>
      </w:r>
      <w:r>
        <w:rPr>
          <w:rFonts w:cs="Times New Roman"/>
        </w:rPr>
        <w:t>o spiritualize the vital agent</w:t>
      </w:r>
      <w:r w:rsidR="007B419C">
        <w:rPr>
          <w:rFonts w:cs="Times New Roman"/>
        </w:rPr>
        <w:t>”</w:t>
      </w:r>
      <w:r w:rsidR="00A34619">
        <w:rPr>
          <w:rFonts w:cs="Times New Roman"/>
        </w:rPr>
        <w:t xml:space="preserve"> </w:t>
      </w:r>
      <w:r w:rsidR="00A34619" w:rsidRPr="00264045">
        <w:rPr>
          <w:rFonts w:cs="Times New Roman"/>
        </w:rPr>
        <w:t>(81)</w:t>
      </w:r>
      <w:r w:rsidR="00A34619">
        <w:rPr>
          <w:rFonts w:cs="Times New Roman"/>
        </w:rPr>
        <w:t>.</w:t>
      </w:r>
      <w:r w:rsidR="00A34619" w:rsidRPr="00264045">
        <w:rPr>
          <w:rFonts w:cs="Times New Roman"/>
        </w:rPr>
        <w:t xml:space="preserve"> </w:t>
      </w:r>
      <w:r w:rsidRPr="00264045">
        <w:rPr>
          <w:rFonts w:cs="Times New Roman"/>
        </w:rPr>
        <w:t xml:space="preserve">In fact, Driesch has not fully resisted this </w:t>
      </w:r>
      <w:r w:rsidR="007B419C">
        <w:rPr>
          <w:rFonts w:cs="Times New Roman"/>
        </w:rPr>
        <w:t>“</w:t>
      </w:r>
      <w:r w:rsidRPr="00264045">
        <w:rPr>
          <w:rFonts w:cs="Times New Roman"/>
        </w:rPr>
        <w:t>temptation</w:t>
      </w:r>
      <w:r w:rsidR="007B419C">
        <w:rPr>
          <w:rFonts w:cs="Times New Roman"/>
        </w:rPr>
        <w:t>”</w:t>
      </w:r>
      <w:r w:rsidRPr="00264045">
        <w:rPr>
          <w:rFonts w:cs="Times New Roman"/>
        </w:rPr>
        <w:t xml:space="preserve"> to spirituali</w:t>
      </w:r>
      <w:r w:rsidR="00A34619">
        <w:rPr>
          <w:rFonts w:cs="Times New Roman"/>
        </w:rPr>
        <w:t>z</w:t>
      </w:r>
      <w:r w:rsidRPr="00264045">
        <w:rPr>
          <w:rFonts w:cs="Times New Roman"/>
        </w:rPr>
        <w:t xml:space="preserve">e—he posits a supersensible force, then looks at organic matter and claims to see his force at work there. His research is as </w:t>
      </w:r>
      <w:r w:rsidR="007B419C">
        <w:rPr>
          <w:rFonts w:cs="Times New Roman"/>
        </w:rPr>
        <w:t>“</w:t>
      </w:r>
      <w:r w:rsidRPr="00264045">
        <w:rPr>
          <w:rFonts w:cs="Times New Roman"/>
        </w:rPr>
        <w:t>empirical</w:t>
      </w:r>
      <w:r w:rsidR="007B419C">
        <w:rPr>
          <w:rFonts w:cs="Times New Roman"/>
        </w:rPr>
        <w:t>”</w:t>
      </w:r>
      <w:r w:rsidRPr="00264045">
        <w:rPr>
          <w:rFonts w:cs="Times New Roman"/>
        </w:rPr>
        <w:t xml:space="preserve"> as a scientific investigation would be if it claimed to find God in nature (or, for example, if it claimed evidence of intelligent design). </w:t>
      </w:r>
      <w:r w:rsidR="00B459AB" w:rsidRPr="00264045">
        <w:rPr>
          <w:rFonts w:cs="Times New Roman"/>
        </w:rPr>
        <w:t>He begins</w:t>
      </w:r>
      <w:r w:rsidRPr="00264045">
        <w:rPr>
          <w:rFonts w:cs="Times New Roman"/>
        </w:rPr>
        <w:t xml:space="preserve"> the section of </w:t>
      </w:r>
      <w:r w:rsidRPr="00264045">
        <w:rPr>
          <w:rFonts w:cs="Times New Roman"/>
          <w:i/>
          <w:iCs/>
        </w:rPr>
        <w:t>The History and Theory of Vitalism</w:t>
      </w:r>
      <w:r w:rsidRPr="00264045">
        <w:rPr>
          <w:rFonts w:cs="Times New Roman"/>
        </w:rPr>
        <w:t xml:space="preserve"> entitled </w:t>
      </w:r>
      <w:r w:rsidR="007B419C">
        <w:rPr>
          <w:rFonts w:cs="Times New Roman"/>
        </w:rPr>
        <w:t>“</w:t>
      </w:r>
      <w:r w:rsidRPr="00264045">
        <w:rPr>
          <w:rFonts w:cs="Times New Roman"/>
        </w:rPr>
        <w:t>The Empirical Proofs of Vitalism</w:t>
      </w:r>
      <w:r w:rsidR="007B419C">
        <w:rPr>
          <w:rFonts w:cs="Times New Roman"/>
        </w:rPr>
        <w:t>”</w:t>
      </w:r>
      <w:r w:rsidR="00B459AB" w:rsidRPr="00264045">
        <w:rPr>
          <w:rFonts w:cs="Times New Roman"/>
        </w:rPr>
        <w:t xml:space="preserve"> </w:t>
      </w:r>
      <w:r w:rsidRPr="00264045">
        <w:rPr>
          <w:rFonts w:cs="Times New Roman"/>
        </w:rPr>
        <w:t xml:space="preserve">by claiming that the revelation of </w:t>
      </w:r>
      <w:r w:rsidR="007B419C">
        <w:rPr>
          <w:rFonts w:cs="Times New Roman"/>
        </w:rPr>
        <w:t>“</w:t>
      </w:r>
      <w:r w:rsidRPr="00264045">
        <w:rPr>
          <w:rFonts w:cs="Times New Roman"/>
        </w:rPr>
        <w:t>non-mechanical causality</w:t>
      </w:r>
      <w:r w:rsidR="007B419C">
        <w:rPr>
          <w:rFonts w:cs="Times New Roman"/>
        </w:rPr>
        <w:t>”</w:t>
      </w:r>
      <w:r w:rsidRPr="00264045">
        <w:rPr>
          <w:rFonts w:cs="Times New Roman"/>
        </w:rPr>
        <w:t xml:space="preserve"> at work in nature is a </w:t>
      </w:r>
      <w:r w:rsidR="007B419C">
        <w:rPr>
          <w:rFonts w:cs="Times New Roman"/>
        </w:rPr>
        <w:t>“</w:t>
      </w:r>
      <w:r w:rsidRPr="00264045">
        <w:rPr>
          <w:rFonts w:cs="Times New Roman"/>
        </w:rPr>
        <w:t>purely empirical problem</w:t>
      </w:r>
      <w:r w:rsidR="007B419C">
        <w:rPr>
          <w:rFonts w:cs="Times New Roman"/>
        </w:rPr>
        <w:t>”</w:t>
      </w:r>
      <w:r w:rsidRPr="00264045">
        <w:rPr>
          <w:rFonts w:cs="Times New Roman"/>
        </w:rPr>
        <w:t xml:space="preserve"> (Driesch 207). He </w:t>
      </w:r>
      <w:r w:rsidR="00B459AB" w:rsidRPr="00264045">
        <w:rPr>
          <w:rFonts w:cs="Times New Roman"/>
        </w:rPr>
        <w:t>assumes the principle that</w:t>
      </w:r>
      <w:r w:rsidRPr="00264045">
        <w:rPr>
          <w:rFonts w:cs="Times New Roman"/>
        </w:rPr>
        <w:t xml:space="preserve"> a whole extended in space must have a non-spatial cause of unity, in order for any or all of its parts to be able to form or reform the whole. His empirical research involves, therefore, spatial division, either to show that individual cells of a sea-urchin embryo can still grow into a whole if artificially isolated, or that other </w:t>
      </w:r>
      <w:r w:rsidR="009A090B">
        <w:rPr>
          <w:rFonts w:cs="Times New Roman"/>
        </w:rPr>
        <w:t>organisms</w:t>
      </w:r>
      <w:r w:rsidRPr="00264045">
        <w:rPr>
          <w:rFonts w:cs="Times New Roman"/>
        </w:rPr>
        <w:t xml:space="preserve"> can be cut into pieces that then begin to function as individuals. His conclusion depends on the assumption that mechanical causality could not produce such results: </w:t>
      </w:r>
      <w:r w:rsidR="007B419C">
        <w:rPr>
          <w:rFonts w:cs="Times New Roman"/>
        </w:rPr>
        <w:t>“</w:t>
      </w:r>
      <w:r w:rsidRPr="00264045">
        <w:rPr>
          <w:rFonts w:cs="Times New Roman"/>
        </w:rPr>
        <w:t xml:space="preserve">how could a machine </w:t>
      </w:r>
      <w:r w:rsidRPr="00264045">
        <w:rPr>
          <w:rFonts w:cs="Times New Roman"/>
          <w:i/>
          <w:iCs/>
        </w:rPr>
        <w:t xml:space="preserve">be </w:t>
      </w:r>
      <w:r w:rsidRPr="00264045">
        <w:rPr>
          <w:rFonts w:cs="Times New Roman"/>
          <w:i/>
          <w:iCs/>
        </w:rPr>
        <w:lastRenderedPageBreak/>
        <w:t>divided innumerable times and yet remain what it was?</w:t>
      </w:r>
      <w:r w:rsidR="007B419C">
        <w:rPr>
          <w:rFonts w:cs="Times New Roman"/>
        </w:rPr>
        <w:t>”</w:t>
      </w:r>
      <w:r w:rsidRPr="00264045">
        <w:rPr>
          <w:rFonts w:cs="Times New Roman"/>
        </w:rPr>
        <w:t xml:space="preserve"> (Driesch 211-2). Therefore, an extra-spatial force he calls </w:t>
      </w:r>
      <w:r w:rsidRPr="00264045">
        <w:rPr>
          <w:rFonts w:cs="Times New Roman"/>
          <w:i/>
          <w:iCs/>
        </w:rPr>
        <w:t>entelechy</w:t>
      </w:r>
      <w:r w:rsidRPr="00264045">
        <w:rPr>
          <w:rFonts w:cs="Times New Roman"/>
        </w:rPr>
        <w:t xml:space="preserve"> must exist as unifying cause. The </w:t>
      </w:r>
      <w:r w:rsidR="007B419C">
        <w:rPr>
          <w:rFonts w:cs="Times New Roman"/>
        </w:rPr>
        <w:t>“</w:t>
      </w:r>
      <w:r w:rsidRPr="00264045">
        <w:rPr>
          <w:rFonts w:cs="Times New Roman"/>
        </w:rPr>
        <w:t>critical</w:t>
      </w:r>
      <w:r w:rsidR="007B419C">
        <w:rPr>
          <w:rFonts w:cs="Times New Roman"/>
        </w:rPr>
        <w:t>”</w:t>
      </w:r>
      <w:r w:rsidRPr="00264045">
        <w:rPr>
          <w:rFonts w:cs="Times New Roman"/>
        </w:rPr>
        <w:t xml:space="preserve"> aspect of this vitalism comes from the dependence of this force on the matter it guides: its abilities are limited to </w:t>
      </w:r>
      <w:r w:rsidR="007B419C">
        <w:rPr>
          <w:rFonts w:cs="Times New Roman"/>
        </w:rPr>
        <w:t>“</w:t>
      </w:r>
      <w:r w:rsidRPr="00264045">
        <w:rPr>
          <w:rFonts w:cs="Times New Roman"/>
          <w:i/>
          <w:iCs/>
        </w:rPr>
        <w:t xml:space="preserve">suspending possible change </w:t>
      </w:r>
      <w:r w:rsidRPr="00264045">
        <w:rPr>
          <w:rFonts w:cs="Times New Roman"/>
        </w:rPr>
        <w:t xml:space="preserve">and </w:t>
      </w:r>
      <w:r w:rsidRPr="00264045">
        <w:rPr>
          <w:rFonts w:cs="Times New Roman"/>
          <w:i/>
          <w:iCs/>
        </w:rPr>
        <w:t>relaxing suspension</w:t>
      </w:r>
      <w:r w:rsidR="007B419C">
        <w:rPr>
          <w:rFonts w:cs="Times New Roman"/>
        </w:rPr>
        <w:t>”</w:t>
      </w:r>
      <w:r w:rsidRPr="00264045">
        <w:rPr>
          <w:rFonts w:cs="Times New Roman"/>
        </w:rPr>
        <w:t xml:space="preserve"> (Driesch 203). </w:t>
      </w:r>
    </w:p>
    <w:p w14:paraId="433A729C" w14:textId="5E59CE2A" w:rsidR="00F215C4" w:rsidRPr="00264045" w:rsidRDefault="00C36F8C" w:rsidP="00F215C4">
      <w:pPr>
        <w:pStyle w:val="BodyA"/>
        <w:rPr>
          <w:rFonts w:cs="Times New Roman"/>
        </w:rPr>
      </w:pPr>
      <w:r w:rsidRPr="00264045">
        <w:rPr>
          <w:rFonts w:cs="Times New Roman"/>
        </w:rPr>
        <w:tab/>
        <w:t xml:space="preserve">Driesch sets a low bar for the machinist to clear, and Bakhtin in his 1926 article </w:t>
      </w:r>
      <w:r w:rsidR="007B419C">
        <w:rPr>
          <w:rFonts w:cs="Times New Roman"/>
        </w:rPr>
        <w:t>“</w:t>
      </w:r>
      <w:r w:rsidRPr="00264045">
        <w:rPr>
          <w:rFonts w:cs="Times New Roman"/>
        </w:rPr>
        <w:t>Contemporary Vitalism</w:t>
      </w:r>
      <w:r w:rsidR="007B419C">
        <w:rPr>
          <w:rFonts w:cs="Times New Roman"/>
        </w:rPr>
        <w:t>”</w:t>
      </w:r>
      <w:r w:rsidRPr="00264045">
        <w:rPr>
          <w:rFonts w:cs="Times New Roman"/>
        </w:rPr>
        <w:t xml:space="preserve"> was already able to suggest a plausible model for explaining such behavior by means of organic chemicals.</w:t>
      </w:r>
      <w:r w:rsidR="00473EAC">
        <w:rPr>
          <w:rStyle w:val="EndnoteReference"/>
          <w:rFonts w:cs="Times New Roman"/>
        </w:rPr>
        <w:endnoteReference w:id="15"/>
      </w:r>
      <w:r w:rsidRPr="00264045">
        <w:rPr>
          <w:rFonts w:cs="Times New Roman"/>
        </w:rPr>
        <w:t xml:space="preserve"> Is Driesch's conclusion truly empirical when he claims that anything we cannot explain or reproduce mechanically is a result of a supersensible force? Notice that this logic, treating our ignorance as a knowledge of the supersensible, mirrors the absolute nescience we identified in the previous section. </w:t>
      </w:r>
      <w:r w:rsidR="00F215C4" w:rsidRPr="00264045">
        <w:rPr>
          <w:rFonts w:cs="Times New Roman"/>
        </w:rPr>
        <w:t xml:space="preserve">Even if Driesch’s particular arguments were falsified, perhaps more logically than empirically, by Bakhtin, Bennett’s own appropriation of them shows the </w:t>
      </w:r>
      <w:r w:rsidR="00F215C4">
        <w:rPr>
          <w:rFonts w:cs="Times New Roman"/>
        </w:rPr>
        <w:t>persistence</w:t>
      </w:r>
      <w:r w:rsidR="00F215C4" w:rsidRPr="00264045">
        <w:rPr>
          <w:rFonts w:cs="Times New Roman"/>
        </w:rPr>
        <w:t xml:space="preserve"> of his way of thought. Despite Bakhtin’s admonitions, she continues to treat everything that remains unexplained or unpredictable in our science as evidence of a creativity and agency of matter. Her vital materialism is no more empirical than the spiritualism for which, </w:t>
      </w:r>
      <w:r w:rsidR="00F215C4">
        <w:rPr>
          <w:rFonts w:cs="Times New Roman"/>
        </w:rPr>
        <w:t>“</w:t>
      </w:r>
      <w:r w:rsidR="00F215C4" w:rsidRPr="00264045">
        <w:rPr>
          <w:rFonts w:cs="Times New Roman"/>
        </w:rPr>
        <w:t>…no science could contravene the theological verities of ensoulment, human exceptionalism and the qualitative hierarchy of Creation</w:t>
      </w:r>
      <w:r w:rsidR="00F215C4">
        <w:rPr>
          <w:rFonts w:cs="Times New Roman"/>
        </w:rPr>
        <w:t xml:space="preserve">” (Bennett 87). That is not to say that any scientific project can free itself of faith. </w:t>
      </w:r>
      <w:r w:rsidR="009D1F30">
        <w:rPr>
          <w:rFonts w:cs="Times New Roman"/>
        </w:rPr>
        <w:t xml:space="preserve">Rather, the ubiquity of faith should suggest that its presence or absence is not a useful guide, in itself, to ethicality or its failure. </w:t>
      </w:r>
      <w:r w:rsidR="00A65D50">
        <w:rPr>
          <w:rFonts w:cs="Times New Roman"/>
        </w:rPr>
        <w:t>While</w:t>
      </w:r>
      <w:r w:rsidR="00F215C4">
        <w:rPr>
          <w:rFonts w:cs="Times New Roman"/>
        </w:rPr>
        <w:t xml:space="preserve"> we </w:t>
      </w:r>
      <w:r w:rsidR="00A65D50">
        <w:rPr>
          <w:rFonts w:cs="Times New Roman"/>
        </w:rPr>
        <w:t xml:space="preserve">should </w:t>
      </w:r>
      <w:r w:rsidR="00F215C4">
        <w:rPr>
          <w:rFonts w:cs="Times New Roman"/>
        </w:rPr>
        <w:t>recognize that an empirical investigation of life is only possible if there are quantifiable differences of vitalit</w:t>
      </w:r>
      <w:r w:rsidR="00A65D50">
        <w:rPr>
          <w:rFonts w:cs="Times New Roman"/>
        </w:rPr>
        <w:t xml:space="preserve">y (and </w:t>
      </w:r>
      <w:r w:rsidR="00F215C4">
        <w:rPr>
          <w:rFonts w:cs="Times New Roman"/>
        </w:rPr>
        <w:t>thus that the opposition Bennett creates between empiricism and hierarchy is untenable</w:t>
      </w:r>
      <w:r w:rsidR="00A65D50">
        <w:rPr>
          <w:rFonts w:cs="Times New Roman"/>
        </w:rPr>
        <w:t>),</w:t>
      </w:r>
      <w:r w:rsidR="00F215C4">
        <w:rPr>
          <w:rFonts w:cs="Times New Roman"/>
        </w:rPr>
        <w:t xml:space="preserve"> </w:t>
      </w:r>
      <w:r w:rsidR="00A65D50">
        <w:rPr>
          <w:rFonts w:cs="Times New Roman"/>
        </w:rPr>
        <w:t>s</w:t>
      </w:r>
      <w:r w:rsidR="00F215C4">
        <w:rPr>
          <w:rFonts w:cs="Times New Roman"/>
        </w:rPr>
        <w:t>he even demonstrates the difficulty of taking the horizontality of vital matter on faith.</w:t>
      </w:r>
    </w:p>
    <w:p w14:paraId="785275B5" w14:textId="7D5202F4" w:rsidR="00FE3DD3" w:rsidRPr="00264045" w:rsidRDefault="00C36F8C">
      <w:pPr>
        <w:pStyle w:val="BodyA"/>
        <w:rPr>
          <w:rFonts w:cs="Times New Roman"/>
        </w:rPr>
      </w:pPr>
      <w:r w:rsidRPr="00264045">
        <w:rPr>
          <w:rFonts w:cs="Times New Roman"/>
        </w:rPr>
        <w:lastRenderedPageBreak/>
        <w:tab/>
      </w:r>
      <w:r w:rsidR="00E07669">
        <w:rPr>
          <w:rFonts w:cs="Times New Roman"/>
        </w:rPr>
        <w:t>Bennett</w:t>
      </w:r>
      <w:r w:rsidR="00AE0EF7">
        <w:rPr>
          <w:rFonts w:cs="Times New Roman"/>
        </w:rPr>
        <w:t xml:space="preserve">’s </w:t>
      </w:r>
      <w:r w:rsidR="00992B4B">
        <w:rPr>
          <w:rFonts w:cs="Times New Roman"/>
        </w:rPr>
        <w:t>trouble</w:t>
      </w:r>
      <w:r w:rsidR="0066217D">
        <w:rPr>
          <w:rFonts w:cs="Times New Roman"/>
        </w:rPr>
        <w:t xml:space="preserve"> drawing ethical conclusions from these premises is indicative of the violence that remains in her conceptual framework. </w:t>
      </w:r>
      <w:r w:rsidR="00E07669">
        <w:rPr>
          <w:rFonts w:cs="Times New Roman"/>
        </w:rPr>
        <w:t>W</w:t>
      </w:r>
      <w:r w:rsidR="0066217D">
        <w:rPr>
          <w:rFonts w:cs="Times New Roman"/>
        </w:rPr>
        <w:t xml:space="preserve">hile she claims that Driesch’s opposition to Nazi appropriation of his research demonstrates the anti-hierarchical nature of his critical vitalism, she nonetheless acknowledges that he posited a hierarchy among living beings, with humanity granted a “special intensity” of </w:t>
      </w:r>
      <w:r w:rsidR="0066217D">
        <w:rPr>
          <w:rFonts w:cs="Times New Roman"/>
          <w:i/>
        </w:rPr>
        <w:t>entelechy</w:t>
      </w:r>
      <w:r w:rsidR="0066217D">
        <w:rPr>
          <w:rFonts w:cs="Times New Roman"/>
        </w:rPr>
        <w:t xml:space="preserve"> (Bennett</w:t>
      </w:r>
      <w:r w:rsidR="0066217D">
        <w:rPr>
          <w:rFonts w:cs="Times New Roman"/>
          <w:i/>
        </w:rPr>
        <w:t xml:space="preserve"> </w:t>
      </w:r>
      <w:r w:rsidR="0066217D">
        <w:rPr>
          <w:rFonts w:cs="Times New Roman"/>
        </w:rPr>
        <w:t>73).</w:t>
      </w:r>
      <w:r w:rsidR="00E07669">
        <w:rPr>
          <w:rFonts w:cs="Times New Roman"/>
        </w:rPr>
        <w:t xml:space="preserve"> And she </w:t>
      </w:r>
      <w:r w:rsidR="00E07669" w:rsidRPr="00264045">
        <w:rPr>
          <w:rFonts w:cs="Times New Roman"/>
        </w:rPr>
        <w:t xml:space="preserve">avoids drawing any vital materialist conclusions regarding stem cell research or abortion policy, perhaps because it would be more difficult to make them align with liberal politics. </w:t>
      </w:r>
      <w:r w:rsidRPr="00264045">
        <w:rPr>
          <w:rFonts w:cs="Times New Roman"/>
        </w:rPr>
        <w:t xml:space="preserve">Her </w:t>
      </w:r>
      <w:r w:rsidR="004A4E0E">
        <w:rPr>
          <w:rFonts w:cs="Times New Roman"/>
        </w:rPr>
        <w:t xml:space="preserve">declared </w:t>
      </w:r>
      <w:r w:rsidR="009D7A12">
        <w:rPr>
          <w:rFonts w:cs="Times New Roman"/>
        </w:rPr>
        <w:t>ethical objection to</w:t>
      </w:r>
      <w:r w:rsidRPr="00264045">
        <w:rPr>
          <w:rFonts w:cs="Times New Roman"/>
        </w:rPr>
        <w:t xml:space="preserve"> </w:t>
      </w:r>
      <w:r w:rsidR="004A4E0E">
        <w:rPr>
          <w:rFonts w:cs="Times New Roman"/>
        </w:rPr>
        <w:t>the spiritualism of the culture of life ultimately appears as more of a defensive projection.</w:t>
      </w:r>
      <w:r w:rsidR="00A01D65" w:rsidRPr="00264045">
        <w:rPr>
          <w:rFonts w:cs="Times New Roman"/>
        </w:rPr>
        <w:t xml:space="preserve"> </w:t>
      </w:r>
      <w:r w:rsidR="004A4E0E">
        <w:rPr>
          <w:rFonts w:cs="Times New Roman"/>
        </w:rPr>
        <w:t xml:space="preserve">Not only does vital materialism </w:t>
      </w:r>
      <w:r w:rsidRPr="00264045">
        <w:rPr>
          <w:rFonts w:cs="Times New Roman"/>
        </w:rPr>
        <w:t xml:space="preserve">offer no critical resources against </w:t>
      </w:r>
      <w:r w:rsidR="004A4E0E">
        <w:rPr>
          <w:rFonts w:cs="Times New Roman"/>
        </w:rPr>
        <w:t xml:space="preserve">spiritualism, it </w:t>
      </w:r>
      <w:r w:rsidR="007A69D9">
        <w:rPr>
          <w:rFonts w:cs="Times New Roman"/>
        </w:rPr>
        <w:t>shares in spiritualism’s essence</w:t>
      </w:r>
      <w:r w:rsidRPr="00264045">
        <w:rPr>
          <w:rFonts w:cs="Times New Roman"/>
        </w:rPr>
        <w:t xml:space="preserve">. </w:t>
      </w:r>
    </w:p>
    <w:p w14:paraId="12581EED" w14:textId="5AF128F1" w:rsidR="00FE3DD3" w:rsidRPr="00264045" w:rsidRDefault="00C36F8C">
      <w:pPr>
        <w:pStyle w:val="BodyA"/>
        <w:rPr>
          <w:rFonts w:cs="Times New Roman"/>
        </w:rPr>
      </w:pPr>
      <w:r w:rsidRPr="00264045">
        <w:rPr>
          <w:rFonts w:cs="Times New Roman"/>
        </w:rPr>
        <w:tab/>
      </w:r>
      <w:r w:rsidR="00E62215">
        <w:rPr>
          <w:rFonts w:cs="Times New Roman"/>
        </w:rPr>
        <w:t xml:space="preserve">A prime example of </w:t>
      </w:r>
      <w:r w:rsidRPr="00264045">
        <w:rPr>
          <w:rFonts w:cs="Times New Roman"/>
        </w:rPr>
        <w:t xml:space="preserve">Bennett’s </w:t>
      </w:r>
      <w:r w:rsidR="00A06042">
        <w:rPr>
          <w:rFonts w:cs="Times New Roman"/>
        </w:rPr>
        <w:t xml:space="preserve">retention of the traditional subjugation of matter is her </w:t>
      </w:r>
      <w:r w:rsidRPr="00264045">
        <w:rPr>
          <w:rFonts w:cs="Times New Roman"/>
        </w:rPr>
        <w:t xml:space="preserve">logocentric view of the machine. Bakhtin suggested, quite accurately, that a machine would be capable of all the things Driesch thought only an extra-spatial force could accomplish. Bakhtin thought this argument supported the mechanistic view of matter, and I agree with Bennett that his view unduly elevates our thinking by </w:t>
      </w:r>
      <w:r w:rsidR="005F58B5">
        <w:rPr>
          <w:rFonts w:cs="Times New Roman"/>
        </w:rPr>
        <w:t>restraining</w:t>
      </w:r>
      <w:r w:rsidRPr="00264045">
        <w:rPr>
          <w:rFonts w:cs="Times New Roman"/>
        </w:rPr>
        <w:t xml:space="preserve"> its substrate. But to shift mechanism to the figure of the machine in order to liberate matter retains the logocentric violence implicit in this distinction:</w:t>
      </w:r>
    </w:p>
    <w:p w14:paraId="59A71DCC" w14:textId="3CB0E567" w:rsidR="00FE3DD3" w:rsidRPr="00264045" w:rsidRDefault="00C36F8C">
      <w:pPr>
        <w:pStyle w:val="quotation"/>
        <w:rPr>
          <w:rFonts w:cs="Times New Roman"/>
        </w:rPr>
      </w:pPr>
      <w:r w:rsidRPr="00264045">
        <w:rPr>
          <w:rFonts w:cs="Times New Roman"/>
        </w:rPr>
        <w:t>…machines and energies are concepts that simply cannot stretch to include as much freedom and spontaneity (i.e., that “</w:t>
      </w:r>
      <w:r w:rsidRPr="00264045">
        <w:rPr>
          <w:rFonts w:cs="Times New Roman"/>
          <w:i/>
          <w:iCs/>
        </w:rPr>
        <w:t>indefiniteness</w:t>
      </w:r>
      <w:r w:rsidRPr="00264045">
        <w:rPr>
          <w:rFonts w:cs="Times New Roman"/>
        </w:rPr>
        <w:t xml:space="preserve"> of correspondence between specific cause and specific effect”) as Driesch senses to be operative in the world. What ultimately distinguishes </w:t>
      </w:r>
      <w:proofErr w:type="spellStart"/>
      <w:r w:rsidRPr="00264045">
        <w:rPr>
          <w:rFonts w:cs="Times New Roman"/>
        </w:rPr>
        <w:t>Bahktin</w:t>
      </w:r>
      <w:proofErr w:type="spellEnd"/>
      <w:r w:rsidRPr="00264045">
        <w:rPr>
          <w:rFonts w:cs="Times New Roman"/>
        </w:rPr>
        <w:t xml:space="preserve"> from Driesch, then, is the question of whether or not natural creativity is even in principle calculable. Driesch says no, </w:t>
      </w:r>
      <w:proofErr w:type="spellStart"/>
      <w:r w:rsidRPr="00264045">
        <w:rPr>
          <w:rFonts w:cs="Times New Roman"/>
        </w:rPr>
        <w:t>Bahktin</w:t>
      </w:r>
      <w:proofErr w:type="spellEnd"/>
      <w:r w:rsidRPr="00264045">
        <w:rPr>
          <w:rFonts w:cs="Times New Roman"/>
        </w:rPr>
        <w:t xml:space="preserve"> seems to say yes. Here I side with Driesch.</w:t>
      </w:r>
      <w:r w:rsidRPr="00264045">
        <w:rPr>
          <w:rFonts w:cs="Times New Roman"/>
          <w:vertAlign w:val="superscript"/>
        </w:rPr>
        <w:endnoteReference w:id="16"/>
      </w:r>
      <w:r w:rsidRPr="00264045">
        <w:rPr>
          <w:rFonts w:cs="Times New Roman"/>
        </w:rPr>
        <w:t xml:space="preserve"> (Bennett</w:t>
      </w:r>
      <w:r w:rsidR="0062096D">
        <w:rPr>
          <w:rFonts w:cs="Times New Roman"/>
          <w:i/>
        </w:rPr>
        <w:t xml:space="preserve"> </w:t>
      </w:r>
      <w:r w:rsidRPr="00264045">
        <w:rPr>
          <w:rFonts w:cs="Times New Roman"/>
        </w:rPr>
        <w:t>76)</w:t>
      </w:r>
    </w:p>
    <w:p w14:paraId="7B2F01AF" w14:textId="77777777" w:rsidR="00FE3DD3" w:rsidRPr="00264045" w:rsidRDefault="00C36F8C">
      <w:pPr>
        <w:pStyle w:val="BodyA"/>
        <w:rPr>
          <w:rFonts w:cs="Times New Roman"/>
        </w:rPr>
      </w:pPr>
      <w:r w:rsidRPr="00264045">
        <w:rPr>
          <w:rFonts w:cs="Times New Roman"/>
        </w:rPr>
        <w:lastRenderedPageBreak/>
        <w:t xml:space="preserve">Out of what would this machine of lifeless repetition be made in a world of vital </w:t>
      </w:r>
      <w:proofErr w:type="gramStart"/>
      <w:r w:rsidRPr="00264045">
        <w:rPr>
          <w:rFonts w:cs="Times New Roman"/>
        </w:rPr>
        <w:t>matter?</w:t>
      </w:r>
      <w:proofErr w:type="gramEnd"/>
      <w:r w:rsidRPr="00264045">
        <w:rPr>
          <w:rFonts w:cs="Times New Roman"/>
        </w:rPr>
        <w:t xml:space="preserve"> </w:t>
      </w:r>
      <w:r w:rsidR="00011C29" w:rsidRPr="00264045">
        <w:rPr>
          <w:rFonts w:cs="Times New Roman"/>
        </w:rPr>
        <w:t>C</w:t>
      </w:r>
      <w:r w:rsidRPr="00264045">
        <w:rPr>
          <w:rFonts w:cs="Times New Roman"/>
        </w:rPr>
        <w:t xml:space="preserve">reativity is not calculable, but to deny it to machines is to </w:t>
      </w:r>
      <w:proofErr w:type="gramStart"/>
      <w:r w:rsidRPr="00264045">
        <w:rPr>
          <w:rFonts w:cs="Times New Roman"/>
        </w:rPr>
        <w:t>found</w:t>
      </w:r>
      <w:proofErr w:type="gramEnd"/>
      <w:r w:rsidRPr="00264045">
        <w:rPr>
          <w:rFonts w:cs="Times New Roman"/>
        </w:rPr>
        <w:t xml:space="preserve"> it on a sovereign self-possession that preserves the same violence formerly perpetrated against matter. Instead, one must view both life and machine as kinds of difference, never able to simply carry out a program or protocol because of the lack of self-identity of the very principle under which we might to try to gather their behavior. A thinking that respected this difference would respond to the challenge Derrida </w:t>
      </w:r>
      <w:r w:rsidR="00011C29" w:rsidRPr="00264045">
        <w:rPr>
          <w:rFonts w:cs="Times New Roman"/>
        </w:rPr>
        <w:t xml:space="preserve">poses: </w:t>
      </w:r>
      <w:r w:rsidR="007B419C">
        <w:rPr>
          <w:rFonts w:cs="Times New Roman"/>
        </w:rPr>
        <w:t>“</w:t>
      </w:r>
      <w:r w:rsidRPr="00264045">
        <w:rPr>
          <w:rFonts w:cs="Times New Roman"/>
        </w:rPr>
        <w:t xml:space="preserve">What it would be necessary to try to think, and this is extremely difficult, is the event </w:t>
      </w:r>
      <w:r w:rsidRPr="00264045">
        <w:rPr>
          <w:rFonts w:cs="Times New Roman"/>
          <w:i/>
          <w:iCs/>
        </w:rPr>
        <w:t>with</w:t>
      </w:r>
      <w:r w:rsidR="00011C29" w:rsidRPr="00264045">
        <w:rPr>
          <w:rFonts w:cs="Times New Roman"/>
        </w:rPr>
        <w:t xml:space="preserve"> the machine</w:t>
      </w:r>
      <w:r w:rsidR="007B419C">
        <w:rPr>
          <w:rFonts w:cs="Times New Roman"/>
        </w:rPr>
        <w:t>”</w:t>
      </w:r>
      <w:r w:rsidR="0062096D">
        <w:rPr>
          <w:rFonts w:cs="Times New Roman"/>
        </w:rPr>
        <w:t xml:space="preserve"> (49).</w:t>
      </w:r>
      <w:r w:rsidRPr="00264045">
        <w:rPr>
          <w:rFonts w:cs="Times New Roman"/>
        </w:rPr>
        <w:t xml:space="preserve"> To do so, one must forfeit any claim to knowledge or certainty about the phenomenal presence of creativity, of invention.</w:t>
      </w:r>
    </w:p>
    <w:p w14:paraId="556089F6" w14:textId="77777777" w:rsidR="00FE3DD3" w:rsidRPr="00264045" w:rsidRDefault="00FE3DD3">
      <w:pPr>
        <w:pStyle w:val="BodyA"/>
        <w:rPr>
          <w:rFonts w:cs="Times New Roman"/>
        </w:rPr>
      </w:pPr>
    </w:p>
    <w:p w14:paraId="73999814" w14:textId="77777777" w:rsidR="00FE3DD3" w:rsidRPr="00264045" w:rsidRDefault="00C36F8C">
      <w:pPr>
        <w:pStyle w:val="BodyA"/>
        <w:jc w:val="center"/>
        <w:rPr>
          <w:rFonts w:cs="Times New Roman"/>
        </w:rPr>
      </w:pPr>
      <w:r w:rsidRPr="00264045">
        <w:rPr>
          <w:rFonts w:cs="Times New Roman"/>
          <w:i/>
          <w:iCs/>
        </w:rPr>
        <w:t>Invention, Intention</w:t>
      </w:r>
    </w:p>
    <w:p w14:paraId="666C1ED1" w14:textId="695D6ECA" w:rsidR="00FE3DD3" w:rsidRPr="00264045" w:rsidRDefault="00C36F8C">
      <w:pPr>
        <w:pStyle w:val="BodyA"/>
        <w:rPr>
          <w:rFonts w:cs="Times New Roman"/>
        </w:rPr>
      </w:pPr>
      <w:r w:rsidRPr="00264045">
        <w:rPr>
          <w:rFonts w:cs="Times New Roman"/>
        </w:rPr>
        <w:t xml:space="preserve">Vital materialism also hopes to bestow on matter the predicate of creativity, a capacity for novelty or invention: </w:t>
      </w:r>
      <w:r w:rsidR="007B419C">
        <w:rPr>
          <w:rFonts w:cs="Times New Roman"/>
        </w:rPr>
        <w:t>“</w:t>
      </w:r>
      <w:r w:rsidRPr="00264045">
        <w:rPr>
          <w:rFonts w:cs="Times New Roman"/>
        </w:rPr>
        <w:t>The point is this: an active becoming, a</w:t>
      </w:r>
      <w:r w:rsidRPr="00264045">
        <w:rPr>
          <w:rFonts w:cs="Times New Roman"/>
          <w:i/>
          <w:iCs/>
        </w:rPr>
        <w:t xml:space="preserve"> creative not-quite-human force capable of producing the new, </w:t>
      </w:r>
      <w:r w:rsidRPr="00264045">
        <w:rPr>
          <w:rFonts w:cs="Times New Roman"/>
        </w:rPr>
        <w:t>buzzes within the history of the term nature</w:t>
      </w:r>
      <w:r w:rsidRPr="00264045">
        <w:rPr>
          <w:rFonts w:cs="Times New Roman"/>
          <w:i/>
          <w:iCs/>
        </w:rPr>
        <w:t xml:space="preserve">. </w:t>
      </w:r>
      <w:r w:rsidRPr="00264045">
        <w:rPr>
          <w:rFonts w:cs="Times New Roman"/>
        </w:rPr>
        <w:t>This vital materiality congeals into bodies</w:t>
      </w:r>
      <w:r w:rsidR="007B419C">
        <w:rPr>
          <w:rFonts w:cs="Times New Roman"/>
        </w:rPr>
        <w:t>”</w:t>
      </w:r>
      <w:r w:rsidRPr="00264045">
        <w:rPr>
          <w:rFonts w:cs="Times New Roman"/>
        </w:rPr>
        <w:t xml:space="preserve"> (Bennett</w:t>
      </w:r>
      <w:r w:rsidR="001312CF">
        <w:rPr>
          <w:rFonts w:cs="Times New Roman"/>
          <w:i/>
        </w:rPr>
        <w:t xml:space="preserve"> </w:t>
      </w:r>
      <w:r w:rsidRPr="00264045">
        <w:rPr>
          <w:rFonts w:cs="Times New Roman"/>
        </w:rPr>
        <w:t>118). As we have found with every term definitive of vitality, creativity is d</w:t>
      </w:r>
      <w:r w:rsidR="0072729C" w:rsidRPr="00264045">
        <w:rPr>
          <w:rFonts w:cs="Times New Roman"/>
        </w:rPr>
        <w:t>ogmatically asserted without an</w:t>
      </w:r>
      <w:r w:rsidRPr="00264045">
        <w:rPr>
          <w:rFonts w:cs="Times New Roman"/>
        </w:rPr>
        <w:t xml:space="preserve"> investigation into the essence of the new. What is the new? Can it ever appear as such? An aporia haunts this concept and prevents any possibility of recognition, as the new, in order to appear, would have to conform to the concept of novelty and thus lack originality. That something in no way predictable or calculable comes into being can remain for us as an object of faith, but the dogmatic assertion of its scientific status (again, claimed as verified by an absoluti</w:t>
      </w:r>
      <w:r w:rsidR="00A00FE8">
        <w:rPr>
          <w:rFonts w:cs="Times New Roman"/>
        </w:rPr>
        <w:t>z</w:t>
      </w:r>
      <w:r w:rsidRPr="00264045">
        <w:rPr>
          <w:rFonts w:cs="Times New Roman"/>
        </w:rPr>
        <w:t>ation of the stochastic in chaos or complexity theory) confines it to an empirical order inimical to its reali</w:t>
      </w:r>
      <w:r w:rsidR="00A00FE8">
        <w:rPr>
          <w:rFonts w:cs="Times New Roman"/>
        </w:rPr>
        <w:t>z</w:t>
      </w:r>
      <w:r w:rsidRPr="00264045">
        <w:rPr>
          <w:rFonts w:cs="Times New Roman"/>
        </w:rPr>
        <w:t>ation. This monism or immanence of the new participates in the very logocentric humanism it hopes to undo.</w:t>
      </w:r>
    </w:p>
    <w:p w14:paraId="5CE712F6" w14:textId="2D0BADCF" w:rsidR="00FE3DD3" w:rsidRPr="00264045" w:rsidRDefault="00C36F8C">
      <w:pPr>
        <w:pStyle w:val="BodyA"/>
        <w:rPr>
          <w:rFonts w:cs="Times New Roman"/>
        </w:rPr>
      </w:pPr>
      <w:r w:rsidRPr="00264045">
        <w:rPr>
          <w:rFonts w:cs="Times New Roman"/>
        </w:rPr>
        <w:lastRenderedPageBreak/>
        <w:tab/>
        <w:t>How could science verify that the new has taken place? Our inability to foresee, predict, or calculate an event would only be sufficient proof if our knowledge was absolute. That calculable novelty requires absolute knowledge to surprise itself is one formulation of its paradoxical nature. A tradition attempted to reduce matter to mere repetition of the same in order to enable the sovereign act of the human being who, uniquely able to form an idea prior to reali</w:t>
      </w:r>
      <w:r w:rsidR="00A00FE8">
        <w:rPr>
          <w:rFonts w:cs="Times New Roman"/>
        </w:rPr>
        <w:t>z</w:t>
      </w:r>
      <w:r w:rsidRPr="00264045">
        <w:rPr>
          <w:rFonts w:cs="Times New Roman"/>
        </w:rPr>
        <w:t xml:space="preserve">ing it, could influence and alter this necessity, could introduce the new. But this, in turn, could only represent true novelty if concepts could be created from nothing, if they were not pre-ordained by an iterability akin to that of Ramon </w:t>
      </w:r>
      <w:proofErr w:type="spellStart"/>
      <w:r w:rsidRPr="00264045">
        <w:rPr>
          <w:rFonts w:cs="Times New Roman"/>
        </w:rPr>
        <w:t>Llull’s</w:t>
      </w:r>
      <w:proofErr w:type="spellEnd"/>
      <w:r w:rsidRPr="00264045">
        <w:rPr>
          <w:rFonts w:cs="Times New Roman"/>
        </w:rPr>
        <w:t xml:space="preserve"> thinking machine.</w:t>
      </w:r>
      <w:r w:rsidR="00B04273">
        <w:rPr>
          <w:rStyle w:val="EndnoteReference"/>
          <w:rFonts w:cs="Times New Roman"/>
        </w:rPr>
        <w:endnoteReference w:id="17"/>
      </w:r>
      <w:r w:rsidRPr="00264045">
        <w:rPr>
          <w:rFonts w:cs="Times New Roman"/>
        </w:rPr>
        <w:t xml:space="preserve"> Without exhausting the possible permutations of this aporia, I will suggest that merely extending the sovereign capacity for novelty to matter displaces without undoing the violence inherent in this gesture, which still must exaggerate our knowledge and deny the undecidability of matter.</w:t>
      </w:r>
    </w:p>
    <w:p w14:paraId="27CF5BCF" w14:textId="77777777" w:rsidR="00FE3DD3" w:rsidRPr="00264045" w:rsidRDefault="00C36F8C">
      <w:pPr>
        <w:pStyle w:val="BodyA"/>
        <w:rPr>
          <w:rFonts w:cs="Times New Roman"/>
        </w:rPr>
      </w:pPr>
      <w:r w:rsidRPr="00264045">
        <w:rPr>
          <w:rFonts w:cs="Times New Roman"/>
        </w:rPr>
        <w:tab/>
        <w:t>Perhaps the clearest sign of this preservation of old hierarchies</w:t>
      </w:r>
      <w:r w:rsidRPr="00264045">
        <w:rPr>
          <w:rFonts w:eastAsia="Times New Roman" w:cs="Times New Roman"/>
          <w:vertAlign w:val="superscript"/>
        </w:rPr>
        <w:endnoteReference w:id="18"/>
      </w:r>
      <w:r w:rsidRPr="00264045">
        <w:rPr>
          <w:rFonts w:cs="Times New Roman"/>
        </w:rPr>
        <w:t xml:space="preserve"> in Bennett’s vital materialism is her description of her doctrine as an </w:t>
      </w:r>
      <w:r w:rsidR="007B419C">
        <w:rPr>
          <w:rFonts w:cs="Times New Roman"/>
        </w:rPr>
        <w:t>“</w:t>
      </w:r>
      <w:r w:rsidRPr="00264045">
        <w:rPr>
          <w:rFonts w:cs="Times New Roman"/>
        </w:rPr>
        <w:t>anthropomorphism:</w:t>
      </w:r>
      <w:r w:rsidR="007B419C">
        <w:rPr>
          <w:rFonts w:cs="Times New Roman"/>
        </w:rPr>
        <w:t>”</w:t>
      </w:r>
    </w:p>
    <w:p w14:paraId="5901D204" w14:textId="1A2A6E1F" w:rsidR="00FE3DD3" w:rsidRPr="00264045" w:rsidRDefault="00C36F8C">
      <w:pPr>
        <w:pStyle w:val="quotation"/>
        <w:rPr>
          <w:rFonts w:cs="Times New Roman"/>
        </w:rPr>
      </w:pPr>
      <w:r w:rsidRPr="00264045">
        <w:rPr>
          <w:rFonts w:cs="Times New Roman"/>
        </w:rPr>
        <w:t>Maybe it is worth running the risks associated with anthropomorphizing (superstition, the divinization of nature, romanticism) because it, oddly enough, works against</w:t>
      </w:r>
      <w:r w:rsidR="00DA26BF">
        <w:rPr>
          <w:rFonts w:cs="Times New Roman"/>
        </w:rPr>
        <w:t xml:space="preserve"> </w:t>
      </w:r>
      <w:r w:rsidRPr="00264045">
        <w:rPr>
          <w:rFonts w:cs="Times New Roman"/>
        </w:rPr>
        <w:t>anthropocentrism: a chord is struck between person and thing, and I am no longer above or outside a nonhuman “environment.” Too often the philosophical rejection of anthropomorphism is bound up with a hubristic demand that only humans and God can bear any traces of creative agency.</w:t>
      </w:r>
      <w:r w:rsidR="008F2A7C">
        <w:rPr>
          <w:rFonts w:cs="Times New Roman"/>
        </w:rPr>
        <w:t xml:space="preserve"> (120)</w:t>
      </w:r>
    </w:p>
    <w:p w14:paraId="672A3B18" w14:textId="2694E278" w:rsidR="00A53A02" w:rsidRPr="00264045" w:rsidRDefault="00C36F8C">
      <w:pPr>
        <w:pStyle w:val="BodyA"/>
        <w:rPr>
          <w:rFonts w:cs="Times New Roman"/>
        </w:rPr>
      </w:pPr>
      <w:r w:rsidRPr="00264045">
        <w:rPr>
          <w:rFonts w:cs="Times New Roman"/>
        </w:rPr>
        <w:t xml:space="preserve">What does </w:t>
      </w:r>
      <w:r w:rsidR="00B7536D" w:rsidRPr="00264045">
        <w:rPr>
          <w:rFonts w:cs="Times New Roman"/>
        </w:rPr>
        <w:t>Bennett</w:t>
      </w:r>
      <w:r w:rsidRPr="00264045">
        <w:rPr>
          <w:rFonts w:cs="Times New Roman"/>
        </w:rPr>
        <w:t xml:space="preserve"> mean by saying her attribution of lif</w:t>
      </w:r>
      <w:r w:rsidR="00B7536D" w:rsidRPr="00264045">
        <w:rPr>
          <w:rFonts w:cs="Times New Roman"/>
        </w:rPr>
        <w:t xml:space="preserve">e, and with it </w:t>
      </w:r>
      <w:r w:rsidR="007B419C">
        <w:rPr>
          <w:rFonts w:cs="Times New Roman"/>
        </w:rPr>
        <w:t>“</w:t>
      </w:r>
      <w:r w:rsidR="00B7536D" w:rsidRPr="00264045">
        <w:rPr>
          <w:rFonts w:cs="Times New Roman"/>
        </w:rPr>
        <w:t>creative agency</w:t>
      </w:r>
      <w:r w:rsidR="008F2A7C">
        <w:rPr>
          <w:rFonts w:cs="Times New Roman"/>
        </w:rPr>
        <w:t>,</w:t>
      </w:r>
      <w:r w:rsidR="007B419C">
        <w:rPr>
          <w:rFonts w:cs="Times New Roman"/>
        </w:rPr>
        <w:t>”</w:t>
      </w:r>
      <w:r w:rsidRPr="00264045">
        <w:rPr>
          <w:rFonts w:cs="Times New Roman"/>
        </w:rPr>
        <w:t xml:space="preserve"> to matter is an instance of anthropomorphism? There can only be sense in invoking this figure if vitality, and with it all the predicates we have examined, including freedom and creativity, belong already to the human being. This rhetorical transfer would even suggest that they are the proper </w:t>
      </w:r>
      <w:r w:rsidRPr="00264045">
        <w:rPr>
          <w:rFonts w:cs="Times New Roman"/>
        </w:rPr>
        <w:lastRenderedPageBreak/>
        <w:t xml:space="preserve">possession of humanity and are extended to matter by analogy or fantasy. </w:t>
      </w:r>
      <w:r w:rsidR="00301B9B" w:rsidRPr="00264045">
        <w:rPr>
          <w:rFonts w:cs="Times New Roman"/>
        </w:rPr>
        <w:t xml:space="preserve">Indeed, though Bennett repeatedly denies that matter has intention, subject, soul, mind, purposiveness, or person, human intentionality is </w:t>
      </w:r>
      <w:r w:rsidR="00447604" w:rsidRPr="00264045">
        <w:rPr>
          <w:rFonts w:cs="Times New Roman"/>
        </w:rPr>
        <w:t>taken for granted throughout her work</w:t>
      </w:r>
      <w:r w:rsidR="00301B9B" w:rsidRPr="00264045">
        <w:rPr>
          <w:rFonts w:cs="Times New Roman"/>
        </w:rPr>
        <w:t>.</w:t>
      </w:r>
      <w:r w:rsidR="009E505B" w:rsidRPr="00264045">
        <w:rPr>
          <w:rFonts w:cs="Times New Roman"/>
        </w:rPr>
        <w:t xml:space="preserve"> This has ramifications for both the ontological and </w:t>
      </w:r>
      <w:proofErr w:type="spellStart"/>
      <w:r w:rsidR="009E505B" w:rsidRPr="00264045">
        <w:rPr>
          <w:rFonts w:cs="Times New Roman"/>
        </w:rPr>
        <w:t>ethico</w:t>
      </w:r>
      <w:proofErr w:type="spellEnd"/>
      <w:r w:rsidR="009E505B" w:rsidRPr="00264045">
        <w:rPr>
          <w:rFonts w:cs="Times New Roman"/>
        </w:rPr>
        <w:t>-political aspects of her project.</w:t>
      </w:r>
      <w:r w:rsidR="00301B9B" w:rsidRPr="00264045">
        <w:rPr>
          <w:rFonts w:cs="Times New Roman"/>
        </w:rPr>
        <w:t xml:space="preserve"> </w:t>
      </w:r>
    </w:p>
    <w:p w14:paraId="55AD219E" w14:textId="604FA061" w:rsidR="00FE3DD3" w:rsidRPr="00264045" w:rsidRDefault="00C36F8C">
      <w:pPr>
        <w:pStyle w:val="BodyA"/>
        <w:rPr>
          <w:rFonts w:cs="Times New Roman"/>
        </w:rPr>
      </w:pPr>
      <w:r w:rsidRPr="00264045">
        <w:rPr>
          <w:rFonts w:cs="Times New Roman"/>
        </w:rPr>
        <w:tab/>
        <w:t xml:space="preserve">Because she would like to avoid the </w:t>
      </w:r>
      <w:r w:rsidR="007B419C">
        <w:rPr>
          <w:rFonts w:cs="Times New Roman"/>
        </w:rPr>
        <w:t>“</w:t>
      </w:r>
      <w:r w:rsidRPr="00264045">
        <w:rPr>
          <w:rFonts w:cs="Times New Roman"/>
        </w:rPr>
        <w:t>old</w:t>
      </w:r>
      <w:r w:rsidR="007B419C">
        <w:rPr>
          <w:rFonts w:cs="Times New Roman"/>
        </w:rPr>
        <w:t>”</w:t>
      </w:r>
      <w:r w:rsidRPr="00264045">
        <w:rPr>
          <w:rFonts w:cs="Times New Roman"/>
        </w:rPr>
        <w:t xml:space="preserve"> vitalism, which separated life force from matter, Bennett emphasi</w:t>
      </w:r>
      <w:r w:rsidR="008F2A7C">
        <w:rPr>
          <w:rFonts w:cs="Times New Roman"/>
        </w:rPr>
        <w:t>z</w:t>
      </w:r>
      <w:r w:rsidRPr="00264045">
        <w:rPr>
          <w:rFonts w:cs="Times New Roman"/>
        </w:rPr>
        <w:t xml:space="preserve">es that vital matter is not an </w:t>
      </w:r>
      <w:r w:rsidR="007B419C">
        <w:rPr>
          <w:rFonts w:cs="Times New Roman"/>
        </w:rPr>
        <w:t>“</w:t>
      </w:r>
      <w:r w:rsidRPr="00264045">
        <w:rPr>
          <w:rFonts w:cs="Times New Roman"/>
        </w:rPr>
        <w:t>intentional subject</w:t>
      </w:r>
      <w:r w:rsidR="007B419C">
        <w:rPr>
          <w:rFonts w:cs="Times New Roman"/>
        </w:rPr>
        <w:t>”</w:t>
      </w:r>
      <w:r w:rsidRPr="00264045">
        <w:rPr>
          <w:rFonts w:cs="Times New Roman"/>
        </w:rPr>
        <w:t xml:space="preserve"> (20), not an </w:t>
      </w:r>
      <w:r w:rsidR="007B419C">
        <w:rPr>
          <w:rFonts w:cs="Times New Roman"/>
        </w:rPr>
        <w:t>“</w:t>
      </w:r>
      <w:r w:rsidRPr="00264045">
        <w:rPr>
          <w:rFonts w:cs="Times New Roman"/>
        </w:rPr>
        <w:t>active soul or mind</w:t>
      </w:r>
      <w:r w:rsidR="007B419C">
        <w:rPr>
          <w:rFonts w:cs="Times New Roman"/>
        </w:rPr>
        <w:t>”</w:t>
      </w:r>
      <w:r w:rsidRPr="00264045">
        <w:rPr>
          <w:rFonts w:cs="Times New Roman"/>
        </w:rPr>
        <w:t xml:space="preserve"> (10), but rather </w:t>
      </w:r>
      <w:r w:rsidR="007B419C">
        <w:rPr>
          <w:rFonts w:cs="Times New Roman"/>
        </w:rPr>
        <w:t>“</w:t>
      </w:r>
      <w:r w:rsidRPr="00264045">
        <w:rPr>
          <w:rFonts w:cs="Times New Roman"/>
        </w:rPr>
        <w:t>impersonal</w:t>
      </w:r>
      <w:r w:rsidR="007B419C">
        <w:rPr>
          <w:rFonts w:cs="Times New Roman"/>
        </w:rPr>
        <w:t>”</w:t>
      </w:r>
      <w:r w:rsidRPr="00264045">
        <w:rPr>
          <w:rFonts w:cs="Times New Roman"/>
        </w:rPr>
        <w:t xml:space="preserve"> (59)</w:t>
      </w:r>
      <w:r w:rsidR="00184544">
        <w:rPr>
          <w:rFonts w:cs="Times New Roman"/>
        </w:rPr>
        <w:t xml:space="preserve"> and without </w:t>
      </w:r>
      <w:r w:rsidRPr="00264045">
        <w:rPr>
          <w:rFonts w:cs="Times New Roman"/>
        </w:rPr>
        <w:t>purposiveness (6</w:t>
      </w:r>
      <w:r w:rsidR="005E51E7">
        <w:rPr>
          <w:rFonts w:cs="Times New Roman"/>
        </w:rPr>
        <w:t>9, 93</w:t>
      </w:r>
      <w:r w:rsidR="00DB2881" w:rsidRPr="00264045">
        <w:rPr>
          <w:rFonts w:cs="Times New Roman"/>
        </w:rPr>
        <w:t>).</w:t>
      </w:r>
      <w:r w:rsidR="00A03DA9">
        <w:rPr>
          <w:rStyle w:val="EndnoteReference"/>
          <w:rFonts w:cs="Times New Roman"/>
        </w:rPr>
        <w:endnoteReference w:id="19"/>
      </w:r>
      <w:r w:rsidRPr="00264045">
        <w:rPr>
          <w:rFonts w:cs="Times New Roman"/>
        </w:rPr>
        <w:t xml:space="preserve"> </w:t>
      </w:r>
      <w:r w:rsidR="00681083">
        <w:rPr>
          <w:rFonts w:cs="Times New Roman"/>
        </w:rPr>
        <w:t>These are important steps toward the deconstruction of the metaphysical concept of life—s</w:t>
      </w:r>
      <w:r w:rsidR="005E51E7">
        <w:rPr>
          <w:rFonts w:cs="Times New Roman"/>
        </w:rPr>
        <w:t xml:space="preserve">uspending </w:t>
      </w:r>
      <w:r w:rsidR="00681083">
        <w:rPr>
          <w:rFonts w:cs="Times New Roman"/>
        </w:rPr>
        <w:t xml:space="preserve">its ties to </w:t>
      </w:r>
      <w:r w:rsidR="005E51E7">
        <w:rPr>
          <w:rFonts w:cs="Times New Roman"/>
        </w:rPr>
        <w:t xml:space="preserve">the intentional subject </w:t>
      </w:r>
      <w:r w:rsidR="00681083">
        <w:rPr>
          <w:rFonts w:cs="Times New Roman"/>
        </w:rPr>
        <w:t xml:space="preserve">and broaching the thought of an </w:t>
      </w:r>
      <w:r w:rsidR="005E51E7">
        <w:rPr>
          <w:rFonts w:cs="Times New Roman"/>
        </w:rPr>
        <w:t xml:space="preserve">unconscious </w:t>
      </w:r>
      <w:r w:rsidRPr="00264045">
        <w:rPr>
          <w:rFonts w:cs="Times New Roman"/>
        </w:rPr>
        <w:t>life</w:t>
      </w:r>
      <w:r w:rsidR="005E51E7">
        <w:rPr>
          <w:rFonts w:cs="Times New Roman"/>
        </w:rPr>
        <w:t xml:space="preserve">. </w:t>
      </w:r>
      <w:r w:rsidR="008A4916">
        <w:rPr>
          <w:rFonts w:cs="Times New Roman"/>
        </w:rPr>
        <w:t>However, one preserves the worst of metaphysics, and with it of anthropocentrism, if one p</w:t>
      </w:r>
      <w:r w:rsidRPr="00264045">
        <w:rPr>
          <w:rFonts w:cs="Times New Roman"/>
        </w:rPr>
        <w:t>reserv</w:t>
      </w:r>
      <w:r w:rsidR="008A4916">
        <w:rPr>
          <w:rFonts w:cs="Times New Roman"/>
        </w:rPr>
        <w:t>es</w:t>
      </w:r>
      <w:r w:rsidRPr="00264045">
        <w:rPr>
          <w:rFonts w:cs="Times New Roman"/>
        </w:rPr>
        <w:t xml:space="preserve"> intentionality for the human alone</w:t>
      </w:r>
      <w:r w:rsidR="008A4916">
        <w:rPr>
          <w:rFonts w:cs="Times New Roman"/>
        </w:rPr>
        <w:t>, which is what Bennett means by referring to her “anthropomorphism</w:t>
      </w:r>
      <w:r w:rsidR="008A7636" w:rsidRPr="00264045">
        <w:rPr>
          <w:rFonts w:cs="Times New Roman"/>
        </w:rPr>
        <w:t>.</w:t>
      </w:r>
      <w:r w:rsidR="008A4916">
        <w:rPr>
          <w:rFonts w:cs="Times New Roman"/>
        </w:rPr>
        <w:t>”</w:t>
      </w:r>
      <w:r w:rsidRPr="00264045">
        <w:rPr>
          <w:rFonts w:eastAsia="Times New Roman" w:cs="Times New Roman"/>
          <w:vertAlign w:val="superscript"/>
        </w:rPr>
        <w:endnoteReference w:id="20"/>
      </w:r>
      <w:r w:rsidR="008A7636" w:rsidRPr="00264045">
        <w:rPr>
          <w:rFonts w:cs="Times New Roman"/>
        </w:rPr>
        <w:t xml:space="preserve"> </w:t>
      </w:r>
    </w:p>
    <w:p w14:paraId="6DEF85F5" w14:textId="63E8614E" w:rsidR="00FE3DD3" w:rsidRPr="00264045" w:rsidRDefault="00C36F8C">
      <w:pPr>
        <w:pStyle w:val="BodyA"/>
        <w:rPr>
          <w:rFonts w:cs="Times New Roman"/>
        </w:rPr>
      </w:pPr>
      <w:r w:rsidRPr="00264045">
        <w:rPr>
          <w:rFonts w:cs="Times New Roman"/>
        </w:rPr>
        <w:tab/>
      </w:r>
      <w:r w:rsidR="008A4916">
        <w:rPr>
          <w:rFonts w:cs="Times New Roman"/>
        </w:rPr>
        <w:t>T</w:t>
      </w:r>
      <w:r w:rsidR="008A7636" w:rsidRPr="00264045">
        <w:rPr>
          <w:rFonts w:cs="Times New Roman"/>
        </w:rPr>
        <w:t xml:space="preserve">he human being is assumed to be a rational animal in </w:t>
      </w:r>
      <w:r w:rsidR="008A4916">
        <w:rPr>
          <w:rFonts w:cs="Times New Roman"/>
        </w:rPr>
        <w:t xml:space="preserve">Bennett’s </w:t>
      </w:r>
      <w:r w:rsidR="008A7636" w:rsidRPr="00264045">
        <w:rPr>
          <w:rFonts w:cs="Times New Roman"/>
        </w:rPr>
        <w:t>study, and the only one.</w:t>
      </w:r>
      <w:r w:rsidRPr="00264045">
        <w:rPr>
          <w:rFonts w:cs="Times New Roman"/>
        </w:rPr>
        <w:t xml:space="preserve"> How, if these humans are composed of purposeless, </w:t>
      </w:r>
      <w:proofErr w:type="spellStart"/>
      <w:r w:rsidRPr="00264045">
        <w:rPr>
          <w:rFonts w:cs="Times New Roman"/>
        </w:rPr>
        <w:t>intentionless</w:t>
      </w:r>
      <w:proofErr w:type="spellEnd"/>
      <w:r w:rsidRPr="00264045">
        <w:rPr>
          <w:rFonts w:cs="Times New Roman"/>
        </w:rPr>
        <w:t xml:space="preserve">, monistic vital matter, do they </w:t>
      </w:r>
      <w:r w:rsidR="00376F86" w:rsidRPr="00264045">
        <w:rPr>
          <w:rFonts w:cs="Times New Roman"/>
        </w:rPr>
        <w:t>come to have intentions at all?</w:t>
      </w:r>
      <w:r w:rsidR="00E25B25">
        <w:rPr>
          <w:rFonts w:cs="Times New Roman"/>
        </w:rPr>
        <w:t xml:space="preserve"> Bennett</w:t>
      </w:r>
      <w:r w:rsidRPr="00264045">
        <w:rPr>
          <w:rFonts w:cs="Times New Roman"/>
        </w:rPr>
        <w:t xml:space="preserve"> makes several attempts to undo this exceptionalism by subjecting human intentions</w:t>
      </w:r>
      <w:r w:rsidR="00376F86" w:rsidRPr="00264045">
        <w:rPr>
          <w:rFonts w:cs="Times New Roman"/>
        </w:rPr>
        <w:t xml:space="preserve"> to a system, process, flow, or </w:t>
      </w:r>
      <w:r w:rsidRPr="00264045">
        <w:rPr>
          <w:rFonts w:cs="Times New Roman"/>
        </w:rPr>
        <w:t xml:space="preserve">assemblage of material influences. </w:t>
      </w:r>
      <w:r w:rsidR="00447604" w:rsidRPr="00264045">
        <w:rPr>
          <w:rFonts w:cs="Times New Roman"/>
        </w:rPr>
        <w:t>She</w:t>
      </w:r>
      <w:r w:rsidRPr="00264045">
        <w:rPr>
          <w:rFonts w:cs="Times New Roman"/>
        </w:rPr>
        <w:t xml:space="preserve"> foregoes the many strategies others have attempted to make thinking part of a material plane of immanence</w:t>
      </w:r>
      <w:r w:rsidR="00E25B25">
        <w:rPr>
          <w:rFonts w:cs="Times New Roman"/>
        </w:rPr>
        <w:t>, such as</w:t>
      </w:r>
      <w:r w:rsidRPr="00264045">
        <w:rPr>
          <w:rFonts w:cs="Times New Roman"/>
        </w:rPr>
        <w:t xml:space="preserve"> yoking it to neural, hormonal, or genetic matter or evolutionary or perceptual influences. Instead, she opts for </w:t>
      </w:r>
      <w:proofErr w:type="spellStart"/>
      <w:r w:rsidRPr="00264045">
        <w:rPr>
          <w:rFonts w:cs="Times New Roman"/>
        </w:rPr>
        <w:t>anagraphy</w:t>
      </w:r>
      <w:proofErr w:type="spellEnd"/>
      <w:r w:rsidRPr="00264045">
        <w:rPr>
          <w:rFonts w:cs="Times New Roman"/>
        </w:rPr>
        <w:t xml:space="preserve">. Every system she would present as a vital materialist assemblage becomes a sort of list poem, from the Thing-Power introduced in </w:t>
      </w:r>
      <w:r w:rsidRPr="00264045">
        <w:rPr>
          <w:rFonts w:cs="Times New Roman"/>
          <w:i/>
          <w:iCs/>
        </w:rPr>
        <w:t>Vibrant Matter</w:t>
      </w:r>
      <w:r w:rsidRPr="00264045">
        <w:rPr>
          <w:rFonts w:cs="Times New Roman"/>
        </w:rPr>
        <w:t>’s opening pages (</w:t>
      </w:r>
      <w:r w:rsidR="007B419C">
        <w:rPr>
          <w:rFonts w:cs="Times New Roman"/>
        </w:rPr>
        <w:t>“</w:t>
      </w:r>
      <w:r w:rsidRPr="00264045">
        <w:rPr>
          <w:rFonts w:cs="Times New Roman"/>
        </w:rPr>
        <w:t>Glove, pollen, rat, cap, stick</w:t>
      </w:r>
      <w:r w:rsidR="007B419C">
        <w:rPr>
          <w:rFonts w:cs="Times New Roman"/>
        </w:rPr>
        <w:t>”</w:t>
      </w:r>
      <w:r w:rsidRPr="00264045">
        <w:rPr>
          <w:rFonts w:cs="Times New Roman"/>
        </w:rPr>
        <w:t xml:space="preserve"> </w:t>
      </w:r>
      <w:r w:rsidR="00114019">
        <w:rPr>
          <w:rFonts w:cs="Times New Roman"/>
        </w:rPr>
        <w:t>[</w:t>
      </w:r>
      <w:r w:rsidRPr="00264045">
        <w:rPr>
          <w:rFonts w:cs="Times New Roman"/>
        </w:rPr>
        <w:t>Bennett 4</w:t>
      </w:r>
      <w:r w:rsidR="00114019">
        <w:rPr>
          <w:rFonts w:cs="Times New Roman"/>
        </w:rPr>
        <w:t>]</w:t>
      </w:r>
      <w:r w:rsidRPr="00264045">
        <w:rPr>
          <w:rFonts w:cs="Times New Roman"/>
        </w:rPr>
        <w:t xml:space="preserve">) to the list of lists she offers as summary and conclusion: </w:t>
      </w:r>
    </w:p>
    <w:p w14:paraId="18F306DC" w14:textId="77777777" w:rsidR="00FE3DD3" w:rsidRPr="00264045" w:rsidRDefault="00C36F8C">
      <w:pPr>
        <w:pStyle w:val="quotation"/>
        <w:rPr>
          <w:rFonts w:cs="Times New Roman"/>
        </w:rPr>
      </w:pPr>
      <w:r w:rsidRPr="00264045">
        <w:rPr>
          <w:rFonts w:cs="Times New Roman"/>
        </w:rPr>
        <w:lastRenderedPageBreak/>
        <w:t>…insofar as anything “acts” at all, it has already entered an agentic assemblage: for example, Hurricanes-FEMA-</w:t>
      </w:r>
      <w:proofErr w:type="spellStart"/>
      <w:r w:rsidRPr="00264045">
        <w:rPr>
          <w:rFonts w:cs="Times New Roman"/>
        </w:rPr>
        <w:t>GlobalWarming</w:t>
      </w:r>
      <w:proofErr w:type="spellEnd"/>
      <w:r w:rsidRPr="00264045">
        <w:rPr>
          <w:rFonts w:cs="Times New Roman"/>
        </w:rPr>
        <w:t xml:space="preserve">; or </w:t>
      </w:r>
      <w:proofErr w:type="spellStart"/>
      <w:r w:rsidRPr="00264045">
        <w:rPr>
          <w:rFonts w:cs="Times New Roman"/>
        </w:rPr>
        <w:t>StemCells</w:t>
      </w:r>
      <w:proofErr w:type="spellEnd"/>
      <w:r w:rsidRPr="00264045">
        <w:rPr>
          <w:rFonts w:cs="Times New Roman"/>
        </w:rPr>
        <w:t xml:space="preserve">-NIH-Souls; or Worms-Topsoil-Garbage; or Electricity-Deregulation-Fire-Greed; or </w:t>
      </w:r>
      <w:proofErr w:type="spellStart"/>
      <w:proofErr w:type="gramStart"/>
      <w:r w:rsidRPr="00264045">
        <w:rPr>
          <w:rFonts w:cs="Times New Roman"/>
        </w:rPr>
        <w:t>E.Coli</w:t>
      </w:r>
      <w:proofErr w:type="spellEnd"/>
      <w:proofErr w:type="gramEnd"/>
      <w:r w:rsidRPr="00264045">
        <w:rPr>
          <w:rFonts w:cs="Times New Roman"/>
        </w:rPr>
        <w:t>-Abattoirs-Agribusiness. (Bennett</w:t>
      </w:r>
      <w:r w:rsidR="00114019">
        <w:rPr>
          <w:rFonts w:cs="Times New Roman"/>
        </w:rPr>
        <w:t xml:space="preserve"> </w:t>
      </w:r>
      <w:r w:rsidRPr="00264045">
        <w:rPr>
          <w:rFonts w:cs="Times New Roman"/>
        </w:rPr>
        <w:t>120-1)</w:t>
      </w:r>
    </w:p>
    <w:p w14:paraId="3E5AED54" w14:textId="77777777" w:rsidR="00FE3DD3" w:rsidRPr="00264045" w:rsidRDefault="00C36F8C">
      <w:pPr>
        <w:pStyle w:val="BodyA"/>
        <w:rPr>
          <w:rFonts w:cs="Times New Roman"/>
        </w:rPr>
      </w:pPr>
      <w:r w:rsidRPr="00264045">
        <w:rPr>
          <w:rFonts w:cs="Times New Roman"/>
        </w:rPr>
        <w:t xml:space="preserve">We might question how far toward the dissolution of subjectivity we have advanced by juxtaposing substantives. Is the </w:t>
      </w:r>
      <w:r w:rsidRPr="00264045">
        <w:rPr>
          <w:rFonts w:cs="Times New Roman"/>
          <w:i/>
          <w:iCs/>
        </w:rPr>
        <w:t xml:space="preserve">trait </w:t>
      </w:r>
      <w:proofErr w:type="spellStart"/>
      <w:r w:rsidRPr="00264045">
        <w:rPr>
          <w:rFonts w:cs="Times New Roman"/>
          <w:i/>
          <w:iCs/>
        </w:rPr>
        <w:t>d’union</w:t>
      </w:r>
      <w:proofErr w:type="spellEnd"/>
      <w:r w:rsidRPr="00264045">
        <w:rPr>
          <w:rFonts w:cs="Times New Roman"/>
        </w:rPr>
        <w:t xml:space="preserve"> enough to awaken a thinking where identity is posterior to relationality? If the only aspect of these lists that makes them vital materialist is the inclusion of entities that traditionally would be placed on either side of the natural/cultural, material/ideal divide, the risk is run of reinforcing these binaries in their classical form.</w:t>
      </w:r>
    </w:p>
    <w:p w14:paraId="414F8D53" w14:textId="6F75BF36" w:rsidR="00376F86" w:rsidRPr="00264045" w:rsidRDefault="00376F86">
      <w:pPr>
        <w:pStyle w:val="BodyA"/>
        <w:rPr>
          <w:rFonts w:cs="Times New Roman"/>
        </w:rPr>
      </w:pPr>
      <w:r w:rsidRPr="00264045">
        <w:rPr>
          <w:rFonts w:cs="Times New Roman"/>
        </w:rPr>
        <w:tab/>
      </w:r>
      <w:r w:rsidR="00AE2E71" w:rsidRPr="00264045">
        <w:rPr>
          <w:rFonts w:cs="Times New Roman"/>
        </w:rPr>
        <w:t xml:space="preserve">In addition to these ontological quandaries, Bennett’s anthropomorphic humanism produces challenges for her </w:t>
      </w:r>
      <w:proofErr w:type="spellStart"/>
      <w:r w:rsidR="00AE2E71" w:rsidRPr="00264045">
        <w:rPr>
          <w:rFonts w:cs="Times New Roman"/>
        </w:rPr>
        <w:t>ethico</w:t>
      </w:r>
      <w:proofErr w:type="spellEnd"/>
      <w:r w:rsidR="00AE2E71" w:rsidRPr="00264045">
        <w:rPr>
          <w:rFonts w:cs="Times New Roman"/>
        </w:rPr>
        <w:t xml:space="preserve">-political goals. </w:t>
      </w:r>
      <w:r w:rsidR="006A0F29" w:rsidRPr="00264045">
        <w:rPr>
          <w:rFonts w:cs="Times New Roman"/>
        </w:rPr>
        <w:t>Because matter remains</w:t>
      </w:r>
      <w:r w:rsidR="00CA4421" w:rsidRPr="00264045">
        <w:rPr>
          <w:rFonts w:cs="Times New Roman"/>
        </w:rPr>
        <w:t>, in her work,</w:t>
      </w:r>
      <w:r w:rsidR="006A0F29" w:rsidRPr="00264045">
        <w:rPr>
          <w:rFonts w:cs="Times New Roman"/>
        </w:rPr>
        <w:t xml:space="preserve"> the thing stripped of all culture</w:t>
      </w:r>
      <w:r w:rsidR="00CA4421" w:rsidRPr="00264045">
        <w:rPr>
          <w:rFonts w:cs="Times New Roman"/>
        </w:rPr>
        <w:t xml:space="preserve"> (its traditional, oppositional definition), the agency she grants it isolates it, rather than producing the relationality she celebrates. The </w:t>
      </w:r>
      <w:r w:rsidR="00072105" w:rsidRPr="00264045">
        <w:rPr>
          <w:rFonts w:cs="Times New Roman"/>
        </w:rPr>
        <w:t xml:space="preserve">claim that matter will affect us outside of our </w:t>
      </w:r>
      <w:r w:rsidR="007B419C">
        <w:rPr>
          <w:rFonts w:cs="Times New Roman"/>
        </w:rPr>
        <w:t>“</w:t>
      </w:r>
      <w:r w:rsidR="00072105" w:rsidRPr="00264045">
        <w:rPr>
          <w:rFonts w:cs="Times New Roman"/>
        </w:rPr>
        <w:t>cultural</w:t>
      </w:r>
      <w:r w:rsidR="007B419C">
        <w:rPr>
          <w:rFonts w:cs="Times New Roman"/>
        </w:rPr>
        <w:t>”</w:t>
      </w:r>
      <w:r w:rsidR="00072105" w:rsidRPr="00264045">
        <w:rPr>
          <w:rFonts w:cs="Times New Roman"/>
        </w:rPr>
        <w:t xml:space="preserve"> view of it merely effaces the cultural differences that shape our experience of it. </w:t>
      </w:r>
      <w:r w:rsidR="00CA4421" w:rsidRPr="00264045">
        <w:rPr>
          <w:rFonts w:cs="Times New Roman"/>
        </w:rPr>
        <w:t xml:space="preserve">In this vein, </w:t>
      </w:r>
      <w:proofErr w:type="spellStart"/>
      <w:r w:rsidR="00DA3B1F" w:rsidRPr="00264045">
        <w:rPr>
          <w:rFonts w:cs="Times New Roman"/>
        </w:rPr>
        <w:t>Washick</w:t>
      </w:r>
      <w:proofErr w:type="spellEnd"/>
      <w:r w:rsidR="00DA3B1F" w:rsidRPr="00264045">
        <w:rPr>
          <w:rFonts w:cs="Times New Roman"/>
        </w:rPr>
        <w:t xml:space="preserve"> and </w:t>
      </w:r>
      <w:proofErr w:type="spellStart"/>
      <w:r w:rsidR="00DA3B1F" w:rsidRPr="00264045">
        <w:rPr>
          <w:rFonts w:cs="Times New Roman"/>
        </w:rPr>
        <w:t>Wingrove</w:t>
      </w:r>
      <w:proofErr w:type="spellEnd"/>
      <w:r w:rsidR="00DA3B1F" w:rsidRPr="00264045">
        <w:rPr>
          <w:rFonts w:cs="Times New Roman"/>
        </w:rPr>
        <w:t xml:space="preserve"> offer an insightful critique of </w:t>
      </w:r>
      <w:r w:rsidR="0019746A" w:rsidRPr="00264045">
        <w:rPr>
          <w:rFonts w:cs="Times New Roman"/>
        </w:rPr>
        <w:t xml:space="preserve">Bennett’s reading of a GAP advertisement, which </w:t>
      </w:r>
      <w:r w:rsidR="00E25B25">
        <w:rPr>
          <w:rFonts w:cs="Times New Roman"/>
        </w:rPr>
        <w:t>Bennett</w:t>
      </w:r>
      <w:r w:rsidR="0019746A" w:rsidRPr="00264045">
        <w:rPr>
          <w:rFonts w:cs="Times New Roman"/>
        </w:rPr>
        <w:t xml:space="preserve"> claimed would produce a </w:t>
      </w:r>
      <w:r w:rsidR="007B419C">
        <w:rPr>
          <w:rFonts w:cs="Times New Roman"/>
        </w:rPr>
        <w:t>“</w:t>
      </w:r>
      <w:r w:rsidR="0019746A" w:rsidRPr="00264045">
        <w:rPr>
          <w:rFonts w:cs="Times New Roman"/>
        </w:rPr>
        <w:t>pagan sensibility</w:t>
      </w:r>
      <w:r w:rsidR="007B419C">
        <w:rPr>
          <w:rFonts w:cs="Times New Roman"/>
        </w:rPr>
        <w:t>”</w:t>
      </w:r>
      <w:r w:rsidR="0019746A" w:rsidRPr="00264045">
        <w:rPr>
          <w:rFonts w:cs="Times New Roman"/>
        </w:rPr>
        <w:t xml:space="preserve"> in viewers through the </w:t>
      </w:r>
      <w:r w:rsidR="007B419C">
        <w:rPr>
          <w:rFonts w:cs="Times New Roman"/>
        </w:rPr>
        <w:t>“</w:t>
      </w:r>
      <w:r w:rsidR="0019746A" w:rsidRPr="00264045">
        <w:rPr>
          <w:rFonts w:cs="Times New Roman"/>
        </w:rPr>
        <w:t>infectious energy</w:t>
      </w:r>
      <w:r w:rsidR="007B419C">
        <w:rPr>
          <w:rFonts w:cs="Times New Roman"/>
        </w:rPr>
        <w:t>”</w:t>
      </w:r>
      <w:r w:rsidR="0019746A" w:rsidRPr="00264045">
        <w:rPr>
          <w:rFonts w:cs="Times New Roman"/>
        </w:rPr>
        <w:t xml:space="preserve"> and </w:t>
      </w:r>
      <w:r w:rsidR="007B419C">
        <w:rPr>
          <w:rFonts w:cs="Times New Roman"/>
        </w:rPr>
        <w:t>“</w:t>
      </w:r>
      <w:r w:rsidR="0019746A" w:rsidRPr="00264045">
        <w:rPr>
          <w:rFonts w:cs="Times New Roman"/>
        </w:rPr>
        <w:t>vitality</w:t>
      </w:r>
      <w:r w:rsidR="007B419C">
        <w:rPr>
          <w:rFonts w:cs="Times New Roman"/>
        </w:rPr>
        <w:t>”</w:t>
      </w:r>
      <w:r w:rsidR="0019746A" w:rsidRPr="00264045">
        <w:rPr>
          <w:rFonts w:cs="Times New Roman"/>
        </w:rPr>
        <w:t xml:space="preserve"> of </w:t>
      </w:r>
      <w:r w:rsidR="007B419C">
        <w:rPr>
          <w:rFonts w:cs="Times New Roman"/>
        </w:rPr>
        <w:t>“</w:t>
      </w:r>
      <w:r w:rsidR="0019746A" w:rsidRPr="00264045">
        <w:rPr>
          <w:rFonts w:cs="Times New Roman"/>
          <w:i/>
        </w:rPr>
        <w:t>the khakis themselves</w:t>
      </w:r>
      <w:r w:rsidR="007B419C">
        <w:rPr>
          <w:rFonts w:cs="Times New Roman"/>
        </w:rPr>
        <w:t>”</w:t>
      </w:r>
      <w:r w:rsidR="0019746A" w:rsidRPr="00264045">
        <w:rPr>
          <w:rFonts w:cs="Times New Roman"/>
        </w:rPr>
        <w:t xml:space="preserve"> (qtd. in </w:t>
      </w:r>
      <w:proofErr w:type="spellStart"/>
      <w:r w:rsidR="008E1B46">
        <w:rPr>
          <w:rFonts w:cs="Times New Roman"/>
        </w:rPr>
        <w:t>Washick</w:t>
      </w:r>
      <w:proofErr w:type="spellEnd"/>
      <w:r w:rsidR="008E1B46">
        <w:rPr>
          <w:rFonts w:cs="Times New Roman"/>
        </w:rPr>
        <w:t xml:space="preserve"> and </w:t>
      </w:r>
      <w:proofErr w:type="spellStart"/>
      <w:r w:rsidR="008E1B46">
        <w:rPr>
          <w:rFonts w:cs="Times New Roman"/>
        </w:rPr>
        <w:t>Wingrove</w:t>
      </w:r>
      <w:proofErr w:type="spellEnd"/>
      <w:r w:rsidR="0019746A" w:rsidRPr="00264045">
        <w:rPr>
          <w:rFonts w:cs="Times New Roman"/>
        </w:rPr>
        <w:t xml:space="preserve"> 70</w:t>
      </w:r>
      <w:r w:rsidR="00431BE2" w:rsidRPr="00264045">
        <w:rPr>
          <w:rFonts w:cs="Times New Roman"/>
        </w:rPr>
        <w:t>-</w:t>
      </w:r>
      <w:r w:rsidR="009F4FEB" w:rsidRPr="00264045">
        <w:rPr>
          <w:rFonts w:cs="Times New Roman"/>
        </w:rPr>
        <w:t>7</w:t>
      </w:r>
      <w:r w:rsidR="00431BE2" w:rsidRPr="00264045">
        <w:rPr>
          <w:rFonts w:cs="Times New Roman"/>
        </w:rPr>
        <w:t>1</w:t>
      </w:r>
      <w:r w:rsidR="009F4FEB" w:rsidRPr="00264045">
        <w:rPr>
          <w:rFonts w:cs="Times New Roman"/>
        </w:rPr>
        <w:t>;</w:t>
      </w:r>
      <w:r w:rsidR="0019746A" w:rsidRPr="00264045">
        <w:rPr>
          <w:rFonts w:cs="Times New Roman"/>
        </w:rPr>
        <w:t xml:space="preserve"> Bennett’s emphasis). </w:t>
      </w:r>
      <w:r w:rsidR="0076013A">
        <w:rPr>
          <w:rFonts w:cs="Times New Roman"/>
        </w:rPr>
        <w:t xml:space="preserve">But </w:t>
      </w:r>
      <w:r w:rsidR="00184B8F">
        <w:rPr>
          <w:rFonts w:cs="Times New Roman"/>
        </w:rPr>
        <w:t xml:space="preserve">such imagined access to matter and the thing itself is the stripping away of its cultural-economic predicates, an imaginary, </w:t>
      </w:r>
      <w:proofErr w:type="spellStart"/>
      <w:r w:rsidR="00184B8F">
        <w:rPr>
          <w:rFonts w:cs="Times New Roman"/>
        </w:rPr>
        <w:t>originary</w:t>
      </w:r>
      <w:proofErr w:type="spellEnd"/>
      <w:r w:rsidR="00184B8F">
        <w:rPr>
          <w:rFonts w:cs="Times New Roman"/>
        </w:rPr>
        <w:t xml:space="preserve"> wholeness that is only a modification of commodity fetishism.</w:t>
      </w:r>
      <w:r w:rsidR="009F4FEB" w:rsidRPr="00264045">
        <w:rPr>
          <w:rFonts w:cs="Times New Roman"/>
        </w:rPr>
        <w:t xml:space="preserve"> </w:t>
      </w:r>
      <w:r w:rsidR="00184B8F">
        <w:rPr>
          <w:rFonts w:cs="Times New Roman"/>
        </w:rPr>
        <w:t>H</w:t>
      </w:r>
      <w:r w:rsidR="009F4FEB" w:rsidRPr="00264045">
        <w:rPr>
          <w:rFonts w:cs="Times New Roman"/>
        </w:rPr>
        <w:t xml:space="preserve">er analysis obscures the exploitative capitalist dynamics of production </w:t>
      </w:r>
      <w:r w:rsidR="00184B8F">
        <w:rPr>
          <w:rFonts w:cs="Times New Roman"/>
        </w:rPr>
        <w:t xml:space="preserve">and </w:t>
      </w:r>
      <w:r w:rsidR="009F4FEB" w:rsidRPr="00264045">
        <w:rPr>
          <w:rFonts w:cs="Times New Roman"/>
        </w:rPr>
        <w:t xml:space="preserve">the </w:t>
      </w:r>
      <w:r w:rsidR="00072105" w:rsidRPr="00264045">
        <w:rPr>
          <w:rFonts w:cs="Times New Roman"/>
        </w:rPr>
        <w:t>inequalities of race and gender depicted in the advertisement.</w:t>
      </w:r>
      <w:r w:rsidR="00184B8F">
        <w:rPr>
          <w:rFonts w:cs="Times New Roman"/>
        </w:rPr>
        <w:t xml:space="preserve"> In fact, she seems to celebrate this aspect of her project, </w:t>
      </w:r>
      <w:r w:rsidR="00184B8F" w:rsidRPr="00184B8F">
        <w:rPr>
          <w:rFonts w:cs="Times New Roman"/>
        </w:rPr>
        <w:t xml:space="preserve">“Not Flower Power, or Black Power, or Girl Power, but </w:t>
      </w:r>
      <w:r w:rsidR="00184B8F" w:rsidRPr="00184B8F">
        <w:rPr>
          <w:rFonts w:cs="Times New Roman"/>
          <w:i/>
        </w:rPr>
        <w:t>Thing-Power</w:t>
      </w:r>
      <w:r w:rsidR="00184B8F" w:rsidRPr="00184B8F">
        <w:rPr>
          <w:rFonts w:cs="Times New Roman"/>
        </w:rPr>
        <w:t>” (6).</w:t>
      </w:r>
      <w:r w:rsidR="00072105" w:rsidRPr="00264045">
        <w:rPr>
          <w:rFonts w:cs="Times New Roman"/>
        </w:rPr>
        <w:t xml:space="preserve"> Similarly, </w:t>
      </w:r>
      <w:proofErr w:type="spellStart"/>
      <w:r w:rsidR="00072105" w:rsidRPr="00264045">
        <w:rPr>
          <w:rFonts w:cs="Times New Roman"/>
        </w:rPr>
        <w:t>Abrahamsson</w:t>
      </w:r>
      <w:proofErr w:type="spellEnd"/>
      <w:r w:rsidR="00072105" w:rsidRPr="00264045">
        <w:rPr>
          <w:rFonts w:cs="Times New Roman"/>
        </w:rPr>
        <w:t xml:space="preserve"> et al.</w:t>
      </w:r>
      <w:r w:rsidR="006748A7" w:rsidRPr="00264045">
        <w:rPr>
          <w:rFonts w:cs="Times New Roman"/>
        </w:rPr>
        <w:t xml:space="preserve"> </w:t>
      </w:r>
      <w:r w:rsidR="00072105" w:rsidRPr="00264045">
        <w:rPr>
          <w:rFonts w:cs="Times New Roman"/>
        </w:rPr>
        <w:t xml:space="preserve">point out that </w:t>
      </w:r>
      <w:r w:rsidR="00E25B25">
        <w:rPr>
          <w:rFonts w:cs="Times New Roman"/>
        </w:rPr>
        <w:t>Bennett’s</w:t>
      </w:r>
      <w:r w:rsidR="00072105" w:rsidRPr="00264045">
        <w:rPr>
          <w:rFonts w:cs="Times New Roman"/>
        </w:rPr>
        <w:t xml:space="preserve"> </w:t>
      </w:r>
      <w:r w:rsidR="00072105" w:rsidRPr="00264045">
        <w:rPr>
          <w:rFonts w:cs="Times New Roman"/>
        </w:rPr>
        <w:lastRenderedPageBreak/>
        <w:t>celebration of Omega-3’</w:t>
      </w:r>
      <w:r w:rsidR="00CA4421" w:rsidRPr="00264045">
        <w:rPr>
          <w:rFonts w:cs="Times New Roman"/>
        </w:rPr>
        <w:t xml:space="preserve">s agency </w:t>
      </w:r>
      <w:r w:rsidR="00072105" w:rsidRPr="00264045">
        <w:rPr>
          <w:rFonts w:cs="Times New Roman"/>
        </w:rPr>
        <w:t xml:space="preserve">obscures the global system of exploitation that reduces fish to dietary supplements for </w:t>
      </w:r>
      <w:r w:rsidR="00CA4421" w:rsidRPr="00264045">
        <w:rPr>
          <w:rFonts w:cs="Times New Roman"/>
        </w:rPr>
        <w:t xml:space="preserve">European and North American markets </w:t>
      </w:r>
      <w:r w:rsidR="00072105" w:rsidRPr="00264045">
        <w:rPr>
          <w:rFonts w:cs="Times New Roman"/>
        </w:rPr>
        <w:t xml:space="preserve">while </w:t>
      </w:r>
      <w:r w:rsidR="00CA4421" w:rsidRPr="00264045">
        <w:rPr>
          <w:rFonts w:cs="Times New Roman"/>
        </w:rPr>
        <w:t>causing food shortages in the global south</w:t>
      </w:r>
      <w:r w:rsidR="008E1B46">
        <w:rPr>
          <w:rFonts w:cs="Times New Roman"/>
        </w:rPr>
        <w:t xml:space="preserve"> </w:t>
      </w:r>
      <w:r w:rsidR="008E1B46" w:rsidRPr="00264045">
        <w:rPr>
          <w:rFonts w:cs="Times New Roman"/>
        </w:rPr>
        <w:t>(12)</w:t>
      </w:r>
      <w:r w:rsidR="00072105" w:rsidRPr="00264045">
        <w:rPr>
          <w:rFonts w:cs="Times New Roman"/>
        </w:rPr>
        <w:t>. The risk of Bennett’s claim that we know and experience the agency of matter itself is that our analysis must efface all of these ways in which matter remains relational to our activity and understanding.</w:t>
      </w:r>
    </w:p>
    <w:p w14:paraId="2CB9CEC8" w14:textId="6338159B" w:rsidR="00353724" w:rsidRDefault="002A4574" w:rsidP="00832C93">
      <w:pPr>
        <w:pStyle w:val="BodyA"/>
        <w:rPr>
          <w:rFonts w:cs="Times New Roman"/>
        </w:rPr>
      </w:pPr>
      <w:r w:rsidRPr="00264045">
        <w:rPr>
          <w:rFonts w:cs="Times New Roman"/>
        </w:rPr>
        <w:tab/>
      </w:r>
      <w:r w:rsidR="006F5CDC" w:rsidRPr="00264045">
        <w:rPr>
          <w:rFonts w:cs="Times New Roman"/>
        </w:rPr>
        <w:t xml:space="preserve">Meanwhile, the ethical role remaining for we the humans is entirely on the side of our conscious, </w:t>
      </w:r>
      <w:proofErr w:type="spellStart"/>
      <w:r w:rsidR="006F5CDC" w:rsidRPr="00264045">
        <w:rPr>
          <w:rFonts w:cs="Times New Roman"/>
        </w:rPr>
        <w:t>representationalist</w:t>
      </w:r>
      <w:proofErr w:type="spellEnd"/>
      <w:r w:rsidR="006F5CDC" w:rsidRPr="00264045">
        <w:rPr>
          <w:rFonts w:cs="Times New Roman"/>
        </w:rPr>
        <w:t xml:space="preserve"> voluntarism.</w:t>
      </w:r>
      <w:r w:rsidR="00EE651C">
        <w:rPr>
          <w:rStyle w:val="EndnoteReference"/>
          <w:rFonts w:cs="Times New Roman"/>
        </w:rPr>
        <w:endnoteReference w:id="21"/>
      </w:r>
      <w:r w:rsidR="006F5CDC" w:rsidRPr="00264045">
        <w:rPr>
          <w:rFonts w:cs="Times New Roman"/>
        </w:rPr>
        <w:t xml:space="preserve"> </w:t>
      </w:r>
      <w:r w:rsidR="00FE3E41">
        <w:rPr>
          <w:rFonts w:cs="Times New Roman"/>
        </w:rPr>
        <w:t>This logocentric humanism fundamentally undermines Bennett’s project. She frames her work, from its opening pages and throughout, as an appeal to this conscious</w:t>
      </w:r>
      <w:r w:rsidR="0014754E">
        <w:rPr>
          <w:rFonts w:cs="Times New Roman"/>
        </w:rPr>
        <w:t xml:space="preserve"> </w:t>
      </w:r>
      <w:r w:rsidR="00FE3E41">
        <w:rPr>
          <w:rFonts w:cs="Times New Roman"/>
        </w:rPr>
        <w:t>subject</w:t>
      </w:r>
      <w:r w:rsidR="003636A4">
        <w:rPr>
          <w:rFonts w:cs="Times New Roman"/>
        </w:rPr>
        <w:t>,</w:t>
      </w:r>
      <w:r w:rsidR="003D4F4A">
        <w:rPr>
          <w:rFonts w:cs="Times New Roman"/>
        </w:rPr>
        <w:t xml:space="preserve"> downplay</w:t>
      </w:r>
      <w:r w:rsidR="003636A4">
        <w:rPr>
          <w:rFonts w:cs="Times New Roman"/>
        </w:rPr>
        <w:t>ing</w:t>
      </w:r>
      <w:r w:rsidR="003D4F4A">
        <w:rPr>
          <w:rFonts w:cs="Times New Roman"/>
        </w:rPr>
        <w:t xml:space="preserve"> the truth-value of her own discourse to </w:t>
      </w:r>
      <w:r w:rsidR="00C80420">
        <w:rPr>
          <w:rFonts w:cs="Times New Roman"/>
        </w:rPr>
        <w:t>foreground</w:t>
      </w:r>
      <w:r w:rsidR="003D4F4A">
        <w:rPr>
          <w:rFonts w:cs="Times New Roman"/>
        </w:rPr>
        <w:t xml:space="preserve"> its rhetorical force of persuasion, “</w:t>
      </w:r>
      <w:r w:rsidR="003D4F4A" w:rsidRPr="003D4F4A">
        <w:rPr>
          <w:rFonts w:cs="Times New Roman"/>
        </w:rPr>
        <w:t>I will emphasize, even overemphasize, the agentic</w:t>
      </w:r>
      <w:r w:rsidR="003D4F4A">
        <w:rPr>
          <w:rFonts w:cs="Times New Roman"/>
        </w:rPr>
        <w:t xml:space="preserve"> </w:t>
      </w:r>
      <w:r w:rsidR="003D4F4A" w:rsidRPr="003D4F4A">
        <w:rPr>
          <w:rFonts w:cs="Times New Roman"/>
        </w:rPr>
        <w:t>contributions of nonhuman forces (operating in nature, in the human</w:t>
      </w:r>
      <w:r w:rsidR="003D4F4A">
        <w:rPr>
          <w:rFonts w:cs="Times New Roman"/>
        </w:rPr>
        <w:t xml:space="preserve"> </w:t>
      </w:r>
      <w:r w:rsidR="003D4F4A" w:rsidRPr="003D4F4A">
        <w:rPr>
          <w:rFonts w:cs="Times New Roman"/>
        </w:rPr>
        <w:t>body, and in human artifacts) in an attempt to counter the narcissistic</w:t>
      </w:r>
      <w:r w:rsidR="003D4F4A">
        <w:rPr>
          <w:rFonts w:cs="Times New Roman"/>
        </w:rPr>
        <w:t xml:space="preserve"> </w:t>
      </w:r>
      <w:r w:rsidR="003D4F4A" w:rsidRPr="003D4F4A">
        <w:rPr>
          <w:rFonts w:cs="Times New Roman"/>
        </w:rPr>
        <w:t>reflex of human language and thought</w:t>
      </w:r>
      <w:r w:rsidR="003D4F4A">
        <w:rPr>
          <w:rFonts w:cs="Times New Roman"/>
        </w:rPr>
        <w:t xml:space="preserve">” (xvi). The anthropomorphism just mentioned is a component of this rhetoric. </w:t>
      </w:r>
      <w:r w:rsidR="003F1E4E">
        <w:rPr>
          <w:rFonts w:cs="Times New Roman"/>
        </w:rPr>
        <w:t xml:space="preserve">Though </w:t>
      </w:r>
      <w:r w:rsidR="00353724">
        <w:rPr>
          <w:rFonts w:cs="Times New Roman"/>
        </w:rPr>
        <w:t>Bennett</w:t>
      </w:r>
      <w:r w:rsidR="003F1E4E">
        <w:rPr>
          <w:rFonts w:cs="Times New Roman"/>
        </w:rPr>
        <w:t xml:space="preserve"> refers to her project also as a “positive ontology of vibrant matter” (x), “a (meta)physics of vibrant materiality” (94), and places significant emphasis on interrogating the history of philosophy, she halts this ostensible discourse on being </w:t>
      </w:r>
      <w:r w:rsidR="001B5129">
        <w:rPr>
          <w:rFonts w:cs="Times New Roman"/>
        </w:rPr>
        <w:t xml:space="preserve">intermittently </w:t>
      </w:r>
      <w:r w:rsidR="003F1E4E">
        <w:rPr>
          <w:rFonts w:cs="Times New Roman"/>
        </w:rPr>
        <w:t>to put forward an underlying method that elide</w:t>
      </w:r>
      <w:r w:rsidR="00832C93">
        <w:rPr>
          <w:rFonts w:cs="Times New Roman"/>
        </w:rPr>
        <w:t>s</w:t>
      </w:r>
      <w:r w:rsidR="003F1E4E">
        <w:rPr>
          <w:rFonts w:cs="Times New Roman"/>
        </w:rPr>
        <w:t xml:space="preserve"> precisely the ontological questions that occupy </w:t>
      </w:r>
      <w:r w:rsidR="00EA1040">
        <w:rPr>
          <w:rFonts w:cs="Times New Roman"/>
        </w:rPr>
        <w:t>much</w:t>
      </w:r>
      <w:r w:rsidR="003F1E4E">
        <w:rPr>
          <w:rFonts w:cs="Times New Roman"/>
        </w:rPr>
        <w:t xml:space="preserve"> of her work, “</w:t>
      </w:r>
      <w:r w:rsidR="00832C93" w:rsidRPr="00832C93">
        <w:rPr>
          <w:rFonts w:cs="Times New Roman"/>
        </w:rPr>
        <w:t>Postpone for a</w:t>
      </w:r>
      <w:r w:rsidR="00832C93">
        <w:rPr>
          <w:rFonts w:cs="Times New Roman"/>
        </w:rPr>
        <w:t xml:space="preserve"> </w:t>
      </w:r>
      <w:r w:rsidR="00832C93" w:rsidRPr="00832C93">
        <w:rPr>
          <w:rFonts w:cs="Times New Roman"/>
        </w:rPr>
        <w:t>while the topics of subjectivity</w:t>
      </w:r>
      <w:r w:rsidR="00832C93">
        <w:rPr>
          <w:rFonts w:cs="Times New Roman"/>
        </w:rPr>
        <w:t xml:space="preserve"> </w:t>
      </w:r>
      <w:r w:rsidR="00832C93" w:rsidRPr="00832C93">
        <w:rPr>
          <w:rFonts w:cs="Times New Roman"/>
        </w:rPr>
        <w:t>or the nature of human interiority, or the question of what really distinguishes</w:t>
      </w:r>
      <w:r w:rsidR="00832C93">
        <w:rPr>
          <w:rFonts w:cs="Times New Roman"/>
        </w:rPr>
        <w:t xml:space="preserve"> </w:t>
      </w:r>
      <w:r w:rsidR="00832C93" w:rsidRPr="00832C93">
        <w:rPr>
          <w:rFonts w:cs="Times New Roman"/>
        </w:rPr>
        <w:t>the human from the animal, plant, and thing</w:t>
      </w:r>
      <w:r w:rsidR="00832C93">
        <w:rPr>
          <w:rFonts w:cs="Times New Roman"/>
        </w:rPr>
        <w:t>” (120)</w:t>
      </w:r>
      <w:r w:rsidR="00832C93" w:rsidRPr="00832C93">
        <w:rPr>
          <w:rFonts w:cs="Times New Roman"/>
        </w:rPr>
        <w:t>.</w:t>
      </w:r>
      <w:r w:rsidR="00340542">
        <w:rPr>
          <w:rFonts w:cs="Times New Roman"/>
        </w:rPr>
        <w:t xml:space="preserve"> Such an </w:t>
      </w:r>
      <w:r w:rsidR="00340542" w:rsidRPr="00F0559C">
        <w:rPr>
          <w:rFonts w:cs="Times New Roman"/>
          <w:i/>
        </w:rPr>
        <w:t>ethical attitude</w:t>
      </w:r>
      <w:r w:rsidR="00F00124">
        <w:rPr>
          <w:rFonts w:cs="Times New Roman"/>
        </w:rPr>
        <w:t xml:space="preserve">, </w:t>
      </w:r>
      <w:r w:rsidR="00DB4740">
        <w:rPr>
          <w:rFonts w:cs="Times New Roman"/>
        </w:rPr>
        <w:t>the</w:t>
      </w:r>
      <w:r w:rsidR="00F00124">
        <w:rPr>
          <w:rFonts w:cs="Times New Roman"/>
        </w:rPr>
        <w:t xml:space="preserve"> understanding of ethical responsibility itself as an attitude adjustment, assumes precisely the separability of the human subject from material relationality that the ontological part of her project denounces.</w:t>
      </w:r>
      <w:r w:rsidR="0092144D">
        <w:rPr>
          <w:rStyle w:val="EndnoteReference"/>
          <w:rFonts w:cs="Times New Roman"/>
        </w:rPr>
        <w:endnoteReference w:id="22"/>
      </w:r>
      <w:r w:rsidR="00F00124">
        <w:rPr>
          <w:rFonts w:cs="Times New Roman"/>
        </w:rPr>
        <w:t xml:space="preserve"> Our conscious intentionality exists apart from the world, and freely takes up an attitude toward it. </w:t>
      </w:r>
      <w:r w:rsidR="001B5129">
        <w:rPr>
          <w:rFonts w:cs="Times New Roman"/>
        </w:rPr>
        <w:t xml:space="preserve">The consideration of life in the previous section </w:t>
      </w:r>
      <w:r w:rsidR="00353724">
        <w:rPr>
          <w:rFonts w:cs="Times New Roman"/>
        </w:rPr>
        <w:t xml:space="preserve">demonstrated how the </w:t>
      </w:r>
      <w:r w:rsidR="00201B33">
        <w:rPr>
          <w:rFonts w:cs="Times New Roman"/>
        </w:rPr>
        <w:lastRenderedPageBreak/>
        <w:t xml:space="preserve">ontological </w:t>
      </w:r>
      <w:r w:rsidR="00353724">
        <w:rPr>
          <w:rFonts w:cs="Times New Roman"/>
        </w:rPr>
        <w:t xml:space="preserve">questions </w:t>
      </w:r>
      <w:r w:rsidR="00EA07BD">
        <w:rPr>
          <w:rFonts w:cs="Times New Roman"/>
        </w:rPr>
        <w:t>she dismisses to focus on ethics</w:t>
      </w:r>
      <w:r w:rsidR="00353724">
        <w:rPr>
          <w:rFonts w:cs="Times New Roman"/>
        </w:rPr>
        <w:t xml:space="preserve"> can presuppose and surreptitiously reinforce the</w:t>
      </w:r>
      <w:r w:rsidR="00057DB9">
        <w:rPr>
          <w:rFonts w:cs="Times New Roman"/>
        </w:rPr>
        <w:t xml:space="preserve"> ethical</w:t>
      </w:r>
      <w:r w:rsidR="00353724">
        <w:rPr>
          <w:rFonts w:cs="Times New Roman"/>
        </w:rPr>
        <w:t xml:space="preserve"> </w:t>
      </w:r>
      <w:r w:rsidR="007E2290">
        <w:rPr>
          <w:rFonts w:cs="Times New Roman"/>
        </w:rPr>
        <w:t>comportment</w:t>
      </w:r>
      <w:r w:rsidR="00353724">
        <w:rPr>
          <w:rFonts w:cs="Times New Roman"/>
        </w:rPr>
        <w:t xml:space="preserve"> she would like to dis</w:t>
      </w:r>
      <w:r w:rsidR="0077613D">
        <w:rPr>
          <w:rFonts w:cs="Times New Roman"/>
        </w:rPr>
        <w:t>courage</w:t>
      </w:r>
      <w:r w:rsidR="00353724">
        <w:rPr>
          <w:rFonts w:cs="Times New Roman"/>
        </w:rPr>
        <w:t xml:space="preserve">. </w:t>
      </w:r>
      <w:r w:rsidR="001B5129">
        <w:rPr>
          <w:rFonts w:cs="Times New Roman"/>
        </w:rPr>
        <w:t>N</w:t>
      </w:r>
      <w:r w:rsidR="00353724">
        <w:rPr>
          <w:rFonts w:cs="Times New Roman"/>
        </w:rPr>
        <w:t>o clea</w:t>
      </w:r>
      <w:r w:rsidR="001B5129">
        <w:rPr>
          <w:rFonts w:cs="Times New Roman"/>
        </w:rPr>
        <w:t>n</w:t>
      </w:r>
      <w:r w:rsidR="00353724">
        <w:rPr>
          <w:rFonts w:cs="Times New Roman"/>
        </w:rPr>
        <w:t xml:space="preserve"> distinction</w:t>
      </w:r>
      <w:r w:rsidR="001B5129">
        <w:rPr>
          <w:rFonts w:cs="Times New Roman"/>
        </w:rPr>
        <w:t xml:space="preserve"> can be made</w:t>
      </w:r>
      <w:r w:rsidR="00353724">
        <w:rPr>
          <w:rFonts w:cs="Times New Roman"/>
        </w:rPr>
        <w:t xml:space="preserve"> between the ontological and the ethical.</w:t>
      </w:r>
    </w:p>
    <w:p w14:paraId="43381C8F" w14:textId="77777777" w:rsidR="00C84055" w:rsidRDefault="00FA7730">
      <w:pPr>
        <w:pStyle w:val="BodyA"/>
      </w:pPr>
      <w:r w:rsidRPr="00264045">
        <w:rPr>
          <w:rFonts w:cs="Times New Roman"/>
        </w:rPr>
        <w:tab/>
      </w:r>
      <w:r w:rsidR="006238AE" w:rsidRPr="00D225D8">
        <w:t xml:space="preserve">The political conclusion of </w:t>
      </w:r>
      <w:r w:rsidR="006238AE" w:rsidRPr="00D225D8">
        <w:rPr>
          <w:i/>
        </w:rPr>
        <w:t>Vibrant Matter</w:t>
      </w:r>
      <w:r w:rsidR="006238AE" w:rsidRPr="00D225D8">
        <w:t xml:space="preserve"> </w:t>
      </w:r>
      <w:r w:rsidR="00D225D8" w:rsidRPr="00D225D8">
        <w:t>remains mired in</w:t>
      </w:r>
      <w:r w:rsidR="006238AE" w:rsidRPr="00D225D8">
        <w:t xml:space="preserve"> Bennett’s humanist logocentrism as well. Her vision of expanding the demos to include nonhumans is based on the model of representative democracy by which participation is allotted by means of the vote, the voice, “But surely the scope of democratization can be broadened to acknowledge more nonhumans in more ways, in something like the ways in which we have come to hear the political voices of other humans formerly on the outs” (109). Matter cannot simply be added to this public as one more constituent but must fundamentally transform our notion of politics and the public if it is to be included, because it has been defined in advance as the outside of voice and consciousness. </w:t>
      </w:r>
      <w:r w:rsidR="00C84055">
        <w:t xml:space="preserve">Ethical and political agency are clearly still being imagined as contemplative decisions made within the isolated consciousness of a thinking subject—Bennett has explicitly denied such a capacity to matter and does not address the question of how one could give nonhuman matter a participatory role in democracy. </w:t>
      </w:r>
    </w:p>
    <w:p w14:paraId="68D79D1F" w14:textId="5F051606" w:rsidR="00FE3DD3" w:rsidRPr="00C84055" w:rsidRDefault="00C84055" w:rsidP="00C84055">
      <w:pPr>
        <w:pStyle w:val="BodyA"/>
        <w:ind w:firstLine="720"/>
      </w:pPr>
      <w:r>
        <w:rPr>
          <w:rFonts w:cs="Times New Roman"/>
        </w:rPr>
        <w:t>To bring about such a politico-ontological revolution, one would have to pose the question:</w:t>
      </w:r>
      <w:r w:rsidR="00C36F8C" w:rsidRPr="00264045">
        <w:rPr>
          <w:rFonts w:cs="Times New Roman"/>
        </w:rPr>
        <w:t xml:space="preserve"> what does matter want? We should not be surprised to find this formulation echoing or parodying the Freudian question about female libido. Indeed, as early as Aristotle the matter/form distinction was explicitly mapped onto female and male sexuality</w:t>
      </w:r>
      <w:r w:rsidR="00BF3924">
        <w:rPr>
          <w:rFonts w:cs="Times New Roman"/>
        </w:rPr>
        <w:t xml:space="preserve"> (</w:t>
      </w:r>
      <w:r w:rsidR="00BF3924">
        <w:rPr>
          <w:i/>
          <w:iCs/>
          <w:sz w:val="22"/>
          <w:szCs w:val="22"/>
        </w:rPr>
        <w:t xml:space="preserve">Met. </w:t>
      </w:r>
      <w:r w:rsidR="00BF3924">
        <w:rPr>
          <w:sz w:val="22"/>
          <w:szCs w:val="22"/>
        </w:rPr>
        <w:t>I.6</w:t>
      </w:r>
      <w:r w:rsidR="009A34E3">
        <w:rPr>
          <w:sz w:val="22"/>
          <w:szCs w:val="22"/>
        </w:rPr>
        <w:t xml:space="preserve">, </w:t>
      </w:r>
      <w:r w:rsidR="00BF3924">
        <w:rPr>
          <w:sz w:val="22"/>
          <w:szCs w:val="22"/>
        </w:rPr>
        <w:t>988a)</w:t>
      </w:r>
      <w:r w:rsidR="00C36F8C" w:rsidRPr="00264045">
        <w:rPr>
          <w:rFonts w:cs="Times New Roman"/>
        </w:rPr>
        <w:t xml:space="preserve">. No amount of investigation or analysis will uncover female desire if a phallogocentric conceptuality has marked out libido in advance as masculine. Similarly, the desire of matter will not communicate itself to us within the anthropocentric conceptuality that Bennett has not </w:t>
      </w:r>
      <w:r w:rsidR="00BA78FF" w:rsidRPr="00264045">
        <w:rPr>
          <w:rFonts w:cs="Times New Roman"/>
        </w:rPr>
        <w:t>placed in</w:t>
      </w:r>
      <w:r w:rsidR="00C36F8C" w:rsidRPr="00264045">
        <w:rPr>
          <w:rFonts w:cs="Times New Roman"/>
        </w:rPr>
        <w:t xml:space="preserve"> question. This desire would neither be that of a living being nor that of a conscious subject, </w:t>
      </w:r>
      <w:r w:rsidR="00C36F8C" w:rsidRPr="00264045">
        <w:rPr>
          <w:rFonts w:cs="Times New Roman"/>
        </w:rPr>
        <w:lastRenderedPageBreak/>
        <w:t>because it disrupts any guiding concept or form of self-organi</w:t>
      </w:r>
      <w:r w:rsidR="00D946A7">
        <w:rPr>
          <w:rFonts w:cs="Times New Roman"/>
        </w:rPr>
        <w:t>z</w:t>
      </w:r>
      <w:r w:rsidR="00C36F8C" w:rsidRPr="00264045">
        <w:rPr>
          <w:rFonts w:cs="Times New Roman"/>
        </w:rPr>
        <w:t xml:space="preserve">ation, and endlessly produces its telos as a differential </w:t>
      </w:r>
      <w:proofErr w:type="spellStart"/>
      <w:r w:rsidR="00C36F8C" w:rsidRPr="00264045">
        <w:rPr>
          <w:rFonts w:cs="Times New Roman"/>
          <w:i/>
          <w:iCs/>
        </w:rPr>
        <w:t>restance</w:t>
      </w:r>
      <w:proofErr w:type="spellEnd"/>
      <w:r w:rsidR="00C36F8C" w:rsidRPr="00264045">
        <w:rPr>
          <w:rFonts w:cs="Times New Roman"/>
          <w:i/>
          <w:iCs/>
        </w:rPr>
        <w:t xml:space="preserve">. </w:t>
      </w:r>
      <w:r w:rsidR="00C36F8C" w:rsidRPr="00264045">
        <w:rPr>
          <w:rFonts w:cs="Times New Roman"/>
        </w:rPr>
        <w:t xml:space="preserve">Matter can only play its traditional causal role in Bennett’s thought, as a check or hindrance, because she has not deconstructed the passive repetition and sovereign innovation that both prevent the event of the desire </w:t>
      </w:r>
      <w:r w:rsidR="00C36F8C" w:rsidRPr="00264045">
        <w:rPr>
          <w:rFonts w:cs="Times New Roman"/>
          <w:i/>
          <w:iCs/>
        </w:rPr>
        <w:t>of</w:t>
      </w:r>
      <w:r w:rsidR="00C36F8C" w:rsidRPr="00264045">
        <w:rPr>
          <w:rFonts w:cs="Times New Roman"/>
        </w:rPr>
        <w:t xml:space="preserve"> the other.</w:t>
      </w:r>
    </w:p>
    <w:p w14:paraId="32B3A5A0" w14:textId="133571C2" w:rsidR="00FE3DD3" w:rsidRPr="00264045" w:rsidRDefault="00C36F8C">
      <w:pPr>
        <w:pStyle w:val="BodyA"/>
        <w:rPr>
          <w:rFonts w:cs="Times New Roman"/>
        </w:rPr>
      </w:pPr>
      <w:r w:rsidRPr="00264045">
        <w:rPr>
          <w:rFonts w:cs="Times New Roman"/>
        </w:rPr>
        <w:tab/>
        <w:t xml:space="preserve">This other </w:t>
      </w:r>
      <w:r w:rsidR="00EF35F2" w:rsidRPr="00264045">
        <w:rPr>
          <w:rFonts w:cs="Times New Roman"/>
        </w:rPr>
        <w:t xml:space="preserve">matter </w:t>
      </w:r>
      <w:r w:rsidRPr="00264045">
        <w:rPr>
          <w:rFonts w:cs="Times New Roman"/>
        </w:rPr>
        <w:t xml:space="preserve">is neither an inert nor a spontaneous ground of material beings or our experience of them, because it is not a ground. No longer </w:t>
      </w:r>
      <w:proofErr w:type="spellStart"/>
      <w:r w:rsidRPr="00264045">
        <w:rPr>
          <w:rFonts w:cs="Times New Roman"/>
          <w:i/>
          <w:iCs/>
        </w:rPr>
        <w:t>materia</w:t>
      </w:r>
      <w:proofErr w:type="spellEnd"/>
      <w:r w:rsidRPr="00264045">
        <w:rPr>
          <w:rFonts w:cs="Times New Roman"/>
          <w:i/>
          <w:iCs/>
        </w:rPr>
        <w:t xml:space="preserve"> prima</w:t>
      </w:r>
      <w:r w:rsidRPr="00264045">
        <w:rPr>
          <w:rFonts w:cs="Times New Roman"/>
        </w:rPr>
        <w:t>, it would subvert both the sense of priority, always having its basis in another contingent necessitation or necessary contingency, as well as the mathematical sense of the prime as the undivided (a-tom). That is, it would be different from itself, in the sense of always already spatiali</w:t>
      </w:r>
      <w:r w:rsidR="00D946A7">
        <w:rPr>
          <w:rFonts w:cs="Times New Roman"/>
        </w:rPr>
        <w:t>z</w:t>
      </w:r>
      <w:r w:rsidRPr="00264045">
        <w:rPr>
          <w:rFonts w:cs="Times New Roman"/>
        </w:rPr>
        <w:t xml:space="preserve">ed life that differs without any decidability of agent or patient, substrate or superstructure. It would no more be the cosmos or divine as </w:t>
      </w:r>
      <w:r w:rsidRPr="00264045">
        <w:rPr>
          <w:rFonts w:cs="Times New Roman"/>
          <w:i/>
          <w:iCs/>
        </w:rPr>
        <w:t>zoon</w:t>
      </w:r>
      <w:r w:rsidRPr="00264045">
        <w:rPr>
          <w:rFonts w:cs="Times New Roman"/>
        </w:rPr>
        <w:t>,</w:t>
      </w:r>
      <w:r w:rsidR="00712ADA" w:rsidRPr="00264045">
        <w:rPr>
          <w:rFonts w:eastAsia="Times New Roman" w:cs="Times New Roman"/>
          <w:vertAlign w:val="superscript"/>
        </w:rPr>
        <w:endnoteReference w:id="23"/>
      </w:r>
      <w:r w:rsidRPr="00264045">
        <w:rPr>
          <w:rFonts w:cs="Times New Roman"/>
          <w:i/>
          <w:iCs/>
        </w:rPr>
        <w:t xml:space="preserve"> </w:t>
      </w:r>
      <w:r w:rsidRPr="00264045">
        <w:rPr>
          <w:rFonts w:cs="Times New Roman"/>
        </w:rPr>
        <w:t>without the promise of organic unity or a</w:t>
      </w:r>
      <w:r w:rsidR="00E55EC5">
        <w:rPr>
          <w:rFonts w:cs="Times New Roman"/>
        </w:rPr>
        <w:t>n intentionality</w:t>
      </w:r>
      <w:r w:rsidRPr="00264045">
        <w:rPr>
          <w:rFonts w:cs="Times New Roman"/>
        </w:rPr>
        <w:t xml:space="preserve"> that could return to itself as sovereign decision. This matter could be called free only to the extent that it belonged to a freedom that was not its own, that neither its predictable nor its unpredictable activities were any more nor less conative or innate. To recogni</w:t>
      </w:r>
      <w:r w:rsidR="00E06A69">
        <w:rPr>
          <w:rFonts w:cs="Times New Roman"/>
        </w:rPr>
        <w:t>z</w:t>
      </w:r>
      <w:r w:rsidRPr="00264045">
        <w:rPr>
          <w:rFonts w:cs="Times New Roman"/>
        </w:rPr>
        <w:t xml:space="preserve">e it as vital would be to acknowledge that it disappears from itself, that it participates in the life of the other who is not an empirically verifiable organic unity but an insurgent </w:t>
      </w:r>
      <w:proofErr w:type="spellStart"/>
      <w:r w:rsidRPr="00264045">
        <w:rPr>
          <w:rFonts w:cs="Times New Roman"/>
          <w:i/>
          <w:iCs/>
        </w:rPr>
        <w:t>arrivant</w:t>
      </w:r>
      <w:proofErr w:type="spellEnd"/>
      <w:r w:rsidRPr="00264045">
        <w:rPr>
          <w:rFonts w:cs="Times New Roman"/>
        </w:rPr>
        <w:t xml:space="preserve">. The life our biology has hunted after for some time is no more empirical and no less differential than this life of matter, which finds itself not within the forms of familiar objects, the substantives still at home in Bennett’s </w:t>
      </w:r>
      <w:proofErr w:type="spellStart"/>
      <w:r w:rsidRPr="00264045">
        <w:rPr>
          <w:rFonts w:cs="Times New Roman"/>
        </w:rPr>
        <w:t>anagraphy</w:t>
      </w:r>
      <w:proofErr w:type="spellEnd"/>
      <w:r w:rsidRPr="00264045">
        <w:rPr>
          <w:rFonts w:cs="Times New Roman"/>
        </w:rPr>
        <w:t xml:space="preserve"> of actants, but rather only appears on the basis of their transgression. We will never exhaust the question of whose inventiveness or creativity satisfies itself through them, or through our asking. We can only say that this invention, if there is any, is an invention of the other.</w:t>
      </w:r>
    </w:p>
    <w:p w14:paraId="30E5AC2A" w14:textId="22D5F52D" w:rsidR="00FE3DD3" w:rsidRPr="00264045" w:rsidRDefault="00C36F8C">
      <w:pPr>
        <w:pStyle w:val="BodyA"/>
        <w:rPr>
          <w:rFonts w:cs="Times New Roman"/>
        </w:rPr>
      </w:pPr>
      <w:r w:rsidRPr="00264045">
        <w:rPr>
          <w:rFonts w:cs="Times New Roman"/>
        </w:rPr>
        <w:tab/>
        <w:t xml:space="preserve">If we have drawn into question the possibility of novelty, it is as much to render undecidable the dogmatic conclusions of Bennett’s empirical or pseudo-empirical investigation </w:t>
      </w:r>
      <w:r w:rsidRPr="00264045">
        <w:rPr>
          <w:rFonts w:cs="Times New Roman"/>
        </w:rPr>
        <w:lastRenderedPageBreak/>
        <w:t xml:space="preserve">that would attribute it to matter, as to question the </w:t>
      </w:r>
      <w:r w:rsidR="00AE775C">
        <w:rPr>
          <w:rFonts w:cs="Times New Roman"/>
        </w:rPr>
        <w:t>success of the work proclaiming</w:t>
      </w:r>
      <w:r w:rsidR="00242034">
        <w:rPr>
          <w:rFonts w:cs="Times New Roman"/>
        </w:rPr>
        <w:t xml:space="preserve"> a</w:t>
      </w:r>
      <w:r w:rsidRPr="00264045">
        <w:rPr>
          <w:rFonts w:cs="Times New Roman"/>
        </w:rPr>
        <w:t xml:space="preserve"> </w:t>
      </w:r>
      <w:r w:rsidR="007B419C">
        <w:rPr>
          <w:rFonts w:cs="Times New Roman"/>
        </w:rPr>
        <w:t>“</w:t>
      </w:r>
      <w:r w:rsidRPr="00264045">
        <w:rPr>
          <w:rFonts w:cs="Times New Roman"/>
        </w:rPr>
        <w:t>new</w:t>
      </w:r>
      <w:r w:rsidR="007B419C">
        <w:rPr>
          <w:rFonts w:cs="Times New Roman"/>
        </w:rPr>
        <w:t>”</w:t>
      </w:r>
      <w:r w:rsidRPr="00264045">
        <w:rPr>
          <w:rFonts w:cs="Times New Roman"/>
        </w:rPr>
        <w:t xml:space="preserve"> materialism. We have repeatedly seen the most traditional concepts, those as old or in a certain sense older than history, reassert themselves in Bennett’s work, and we will find the same in any discourse founded on</w:t>
      </w:r>
      <w:r w:rsidR="00D73B2A" w:rsidRPr="00264045">
        <w:rPr>
          <w:rFonts w:cs="Times New Roman"/>
        </w:rPr>
        <w:t xml:space="preserve"> the corralation,</w:t>
      </w:r>
      <w:r w:rsidRPr="00264045">
        <w:rPr>
          <w:rFonts w:cs="Times New Roman"/>
        </w:rPr>
        <w:t xml:space="preserve"> a performative gesture of exclusion. No doctrine will ever be able, at the level of positivistic knowledge, to secure its own novelty, and so can only prop up this preten</w:t>
      </w:r>
      <w:r w:rsidR="00E06A69">
        <w:rPr>
          <w:rFonts w:cs="Times New Roman"/>
        </w:rPr>
        <w:t>s</w:t>
      </w:r>
      <w:r w:rsidRPr="00264045">
        <w:rPr>
          <w:rFonts w:cs="Times New Roman"/>
        </w:rPr>
        <w:t xml:space="preserve">e with </w:t>
      </w:r>
      <w:proofErr w:type="spellStart"/>
      <w:r w:rsidRPr="00264045">
        <w:rPr>
          <w:rFonts w:cs="Times New Roman"/>
        </w:rPr>
        <w:t>denegations</w:t>
      </w:r>
      <w:proofErr w:type="spellEnd"/>
      <w:r w:rsidRPr="00264045">
        <w:rPr>
          <w:rFonts w:cs="Times New Roman"/>
        </w:rPr>
        <w:t xml:space="preserve"> of its inheritance. Only a discourse that respects the undecidability of these borders, their fragile, fractured, perhaps even their fractal structure, whose self-similar scaling guarantees we are never any closer to or further from transgressing them, only such a discourse may, unbeknownst to itself, become the body, organ, free act, or invention of another matter, whether in the sense of </w:t>
      </w:r>
      <w:proofErr w:type="spellStart"/>
      <w:r w:rsidRPr="00264045">
        <w:rPr>
          <w:rFonts w:cs="Times New Roman"/>
          <w:i/>
          <w:iCs/>
        </w:rPr>
        <w:t>Sache</w:t>
      </w:r>
      <w:proofErr w:type="spellEnd"/>
      <w:r w:rsidRPr="00264045">
        <w:rPr>
          <w:rFonts w:cs="Times New Roman"/>
        </w:rPr>
        <w:t xml:space="preserve"> or </w:t>
      </w:r>
      <w:r w:rsidRPr="00264045">
        <w:rPr>
          <w:rFonts w:cs="Times New Roman"/>
          <w:i/>
          <w:iCs/>
        </w:rPr>
        <w:t xml:space="preserve">Ding, </w:t>
      </w:r>
      <w:r w:rsidR="00146E48">
        <w:rPr>
          <w:rFonts w:cs="Times New Roman"/>
        </w:rPr>
        <w:t xml:space="preserve">subject matter or subject-matter, </w:t>
      </w:r>
      <w:r w:rsidRPr="00264045">
        <w:rPr>
          <w:rFonts w:cs="Times New Roman"/>
        </w:rPr>
        <w:t xml:space="preserve">always at the point where </w:t>
      </w:r>
      <w:r w:rsidR="00E86E96">
        <w:rPr>
          <w:rFonts w:cs="Times New Roman"/>
        </w:rPr>
        <w:t>this</w:t>
      </w:r>
      <w:r w:rsidRPr="00264045">
        <w:rPr>
          <w:rFonts w:cs="Times New Roman"/>
        </w:rPr>
        <w:t xml:space="preserve"> difference too is undecidable.</w:t>
      </w:r>
    </w:p>
    <w:p w14:paraId="760A9435" w14:textId="77777777" w:rsidR="00FE3DD3" w:rsidRDefault="00FE3DD3">
      <w:pPr>
        <w:pStyle w:val="BodyA"/>
      </w:pPr>
    </w:p>
    <w:p w14:paraId="0EE4A400" w14:textId="77777777" w:rsidR="00FE3DD3" w:rsidRDefault="00FE3DD3">
      <w:pPr>
        <w:pStyle w:val="BodyA"/>
      </w:pPr>
    </w:p>
    <w:p w14:paraId="74745975" w14:textId="77777777" w:rsidR="00FE3DD3" w:rsidRDefault="00FE3DD3">
      <w:pPr>
        <w:pStyle w:val="BodyA"/>
      </w:pPr>
    </w:p>
    <w:p w14:paraId="2E98C5F5" w14:textId="77777777" w:rsidR="00C64E4C" w:rsidRDefault="00C64E4C">
      <w:pPr>
        <w:pStyle w:val="BodyA"/>
      </w:pPr>
    </w:p>
    <w:p w14:paraId="35EF0393" w14:textId="77777777" w:rsidR="00FE3DD3" w:rsidRDefault="00FE3DD3">
      <w:pPr>
        <w:pStyle w:val="BodyA"/>
      </w:pPr>
    </w:p>
    <w:p w14:paraId="2D68E164" w14:textId="77777777" w:rsidR="00FE3DD3" w:rsidRDefault="00C36F8C">
      <w:pPr>
        <w:pStyle w:val="Body"/>
        <w:spacing w:line="480" w:lineRule="auto"/>
        <w:rPr>
          <w:b/>
          <w:bCs/>
        </w:rPr>
      </w:pPr>
      <w:r>
        <w:rPr>
          <w:b/>
          <w:bCs/>
        </w:rPr>
        <w:t>Works Cited</w:t>
      </w:r>
    </w:p>
    <w:p w14:paraId="2B9B7BA4" w14:textId="11D2EA38" w:rsidR="00631009" w:rsidRPr="00264045" w:rsidRDefault="00631009">
      <w:pPr>
        <w:pStyle w:val="Body"/>
        <w:ind w:left="360" w:hanging="360"/>
        <w:rPr>
          <w:sz w:val="22"/>
          <w:szCs w:val="22"/>
        </w:rPr>
      </w:pPr>
      <w:proofErr w:type="spellStart"/>
      <w:r w:rsidRPr="00264045">
        <w:rPr>
          <w:sz w:val="22"/>
          <w:szCs w:val="22"/>
        </w:rPr>
        <w:t>Abrahamsson</w:t>
      </w:r>
      <w:proofErr w:type="spellEnd"/>
      <w:r w:rsidRPr="00264045">
        <w:rPr>
          <w:sz w:val="22"/>
          <w:szCs w:val="22"/>
        </w:rPr>
        <w:t>, Sebastian</w:t>
      </w:r>
      <w:r w:rsidR="004E7551" w:rsidRPr="00264045">
        <w:rPr>
          <w:sz w:val="22"/>
          <w:szCs w:val="22"/>
        </w:rPr>
        <w:t xml:space="preserve">, </w:t>
      </w:r>
      <w:r w:rsidR="0072087C">
        <w:rPr>
          <w:sz w:val="22"/>
          <w:szCs w:val="22"/>
        </w:rPr>
        <w:t xml:space="preserve">et al. </w:t>
      </w:r>
      <w:r w:rsidR="007B419C">
        <w:rPr>
          <w:sz w:val="22"/>
          <w:szCs w:val="22"/>
        </w:rPr>
        <w:t>“</w:t>
      </w:r>
      <w:r w:rsidRPr="00264045">
        <w:rPr>
          <w:sz w:val="22"/>
          <w:szCs w:val="22"/>
        </w:rPr>
        <w:t xml:space="preserve">Living with </w:t>
      </w:r>
      <w:r w:rsidR="0072087C">
        <w:rPr>
          <w:sz w:val="22"/>
          <w:szCs w:val="22"/>
        </w:rPr>
        <w:t>O</w:t>
      </w:r>
      <w:r w:rsidRPr="00264045">
        <w:rPr>
          <w:sz w:val="22"/>
          <w:szCs w:val="22"/>
        </w:rPr>
        <w:t xml:space="preserve">mega-3: </w:t>
      </w:r>
      <w:r w:rsidR="0072087C">
        <w:rPr>
          <w:sz w:val="22"/>
          <w:szCs w:val="22"/>
        </w:rPr>
        <w:t>N</w:t>
      </w:r>
      <w:r w:rsidRPr="00264045">
        <w:rPr>
          <w:sz w:val="22"/>
          <w:szCs w:val="22"/>
        </w:rPr>
        <w:t xml:space="preserve">ew </w:t>
      </w:r>
      <w:r w:rsidR="0072087C">
        <w:rPr>
          <w:sz w:val="22"/>
          <w:szCs w:val="22"/>
        </w:rPr>
        <w:t>M</w:t>
      </w:r>
      <w:r w:rsidRPr="00264045">
        <w:rPr>
          <w:sz w:val="22"/>
          <w:szCs w:val="22"/>
        </w:rPr>
        <w:t xml:space="preserve">aterialism and </w:t>
      </w:r>
      <w:r w:rsidR="0072087C">
        <w:rPr>
          <w:sz w:val="22"/>
          <w:szCs w:val="22"/>
        </w:rPr>
        <w:t>E</w:t>
      </w:r>
      <w:r w:rsidRPr="00264045">
        <w:rPr>
          <w:sz w:val="22"/>
          <w:szCs w:val="22"/>
        </w:rPr>
        <w:t xml:space="preserve">nduring </w:t>
      </w:r>
      <w:r w:rsidR="0072087C">
        <w:rPr>
          <w:sz w:val="22"/>
          <w:szCs w:val="22"/>
        </w:rPr>
        <w:t>C</w:t>
      </w:r>
      <w:r w:rsidRPr="00264045">
        <w:rPr>
          <w:sz w:val="22"/>
          <w:szCs w:val="22"/>
        </w:rPr>
        <w:t>oncerns</w:t>
      </w:r>
      <w:r w:rsidR="0072087C">
        <w:rPr>
          <w:sz w:val="22"/>
          <w:szCs w:val="22"/>
        </w:rPr>
        <w:t>.</w:t>
      </w:r>
      <w:r w:rsidR="007B419C">
        <w:rPr>
          <w:sz w:val="22"/>
          <w:szCs w:val="22"/>
        </w:rPr>
        <w:t>”</w:t>
      </w:r>
      <w:r w:rsidRPr="00264045">
        <w:rPr>
          <w:sz w:val="22"/>
          <w:szCs w:val="22"/>
        </w:rPr>
        <w:t xml:space="preserve"> </w:t>
      </w:r>
      <w:r w:rsidRPr="00264045">
        <w:rPr>
          <w:i/>
          <w:sz w:val="22"/>
          <w:szCs w:val="22"/>
        </w:rPr>
        <w:t>Environment and Planning D: Society and Space</w:t>
      </w:r>
      <w:r w:rsidR="0072087C">
        <w:rPr>
          <w:i/>
          <w:sz w:val="22"/>
          <w:szCs w:val="22"/>
        </w:rPr>
        <w:t>,</w:t>
      </w:r>
      <w:r w:rsidRPr="00264045">
        <w:rPr>
          <w:sz w:val="22"/>
          <w:szCs w:val="22"/>
        </w:rPr>
        <w:t xml:space="preserve"> </w:t>
      </w:r>
      <w:r w:rsidR="0072087C">
        <w:rPr>
          <w:sz w:val="22"/>
          <w:szCs w:val="22"/>
        </w:rPr>
        <w:t xml:space="preserve">vol. </w:t>
      </w:r>
      <w:r w:rsidRPr="00264045">
        <w:rPr>
          <w:sz w:val="22"/>
          <w:szCs w:val="22"/>
        </w:rPr>
        <w:t>33</w:t>
      </w:r>
      <w:r w:rsidR="0072087C">
        <w:rPr>
          <w:sz w:val="22"/>
          <w:szCs w:val="22"/>
        </w:rPr>
        <w:t>, no.</w:t>
      </w:r>
      <w:r w:rsidRPr="00264045">
        <w:rPr>
          <w:sz w:val="22"/>
          <w:szCs w:val="22"/>
        </w:rPr>
        <w:t>1,</w:t>
      </w:r>
      <w:r w:rsidR="0072087C">
        <w:rPr>
          <w:sz w:val="22"/>
          <w:szCs w:val="22"/>
        </w:rPr>
        <w:t xml:space="preserve"> </w:t>
      </w:r>
      <w:r w:rsidR="00897DBB">
        <w:rPr>
          <w:sz w:val="22"/>
          <w:szCs w:val="22"/>
        </w:rPr>
        <w:t>Jan. 2015</w:t>
      </w:r>
      <w:r w:rsidR="0072087C">
        <w:rPr>
          <w:sz w:val="22"/>
          <w:szCs w:val="22"/>
        </w:rPr>
        <w:t>,</w:t>
      </w:r>
      <w:r w:rsidRPr="00264045">
        <w:rPr>
          <w:sz w:val="22"/>
          <w:szCs w:val="22"/>
        </w:rPr>
        <w:t xml:space="preserve"> pp. 4-19.</w:t>
      </w:r>
    </w:p>
    <w:p w14:paraId="06E312E8" w14:textId="1039EBF9" w:rsidR="00FE3DD3" w:rsidRPr="00264045" w:rsidRDefault="00C36F8C">
      <w:pPr>
        <w:pStyle w:val="Body"/>
        <w:ind w:left="360" w:hanging="360"/>
        <w:rPr>
          <w:sz w:val="22"/>
          <w:szCs w:val="22"/>
        </w:rPr>
      </w:pPr>
      <w:r w:rsidRPr="00264045">
        <w:rPr>
          <w:sz w:val="22"/>
          <w:szCs w:val="22"/>
        </w:rPr>
        <w:t>Ahmed, Sara</w:t>
      </w:r>
      <w:r w:rsidR="00B4353C">
        <w:rPr>
          <w:sz w:val="22"/>
          <w:szCs w:val="22"/>
        </w:rPr>
        <w:t>.</w:t>
      </w:r>
      <w:r w:rsidRPr="00264045">
        <w:rPr>
          <w:sz w:val="22"/>
          <w:szCs w:val="22"/>
        </w:rPr>
        <w:t xml:space="preserve"> </w:t>
      </w:r>
      <w:r w:rsidR="007B419C">
        <w:rPr>
          <w:sz w:val="22"/>
          <w:szCs w:val="22"/>
        </w:rPr>
        <w:t>“</w:t>
      </w:r>
      <w:r w:rsidRPr="00264045">
        <w:rPr>
          <w:sz w:val="22"/>
          <w:szCs w:val="22"/>
        </w:rPr>
        <w:t xml:space="preserve">Open Forum Imaginary Prohibitions: Some Preliminary Remarks </w:t>
      </w:r>
      <w:r w:rsidR="00570024" w:rsidRPr="00264045">
        <w:rPr>
          <w:sz w:val="22"/>
          <w:szCs w:val="22"/>
        </w:rPr>
        <w:t>on the Founding Gestures of the</w:t>
      </w:r>
      <w:r w:rsidRPr="00264045">
        <w:rPr>
          <w:sz w:val="22"/>
          <w:szCs w:val="22"/>
        </w:rPr>
        <w:t xml:space="preserve"> </w:t>
      </w:r>
      <w:r w:rsidR="00DC1A17">
        <w:rPr>
          <w:sz w:val="22"/>
          <w:szCs w:val="22"/>
        </w:rPr>
        <w:t>‘</w:t>
      </w:r>
      <w:r w:rsidRPr="00264045">
        <w:rPr>
          <w:sz w:val="22"/>
          <w:szCs w:val="22"/>
        </w:rPr>
        <w:t>New Materialism</w:t>
      </w:r>
      <w:r w:rsidR="00B4353C">
        <w:rPr>
          <w:sz w:val="22"/>
          <w:szCs w:val="22"/>
        </w:rPr>
        <w:t>.</w:t>
      </w:r>
      <w:r w:rsidR="00DC1A17">
        <w:rPr>
          <w:sz w:val="22"/>
          <w:szCs w:val="22"/>
        </w:rPr>
        <w:t>’”</w:t>
      </w:r>
      <w:r w:rsidRPr="00264045">
        <w:rPr>
          <w:sz w:val="22"/>
          <w:szCs w:val="22"/>
        </w:rPr>
        <w:t xml:space="preserve"> </w:t>
      </w:r>
      <w:r w:rsidRPr="00264045">
        <w:rPr>
          <w:i/>
          <w:iCs/>
          <w:sz w:val="22"/>
          <w:szCs w:val="22"/>
        </w:rPr>
        <w:t>European Journal of Women's Studies</w:t>
      </w:r>
      <w:r w:rsidR="00B4353C">
        <w:rPr>
          <w:i/>
          <w:iCs/>
          <w:sz w:val="22"/>
          <w:szCs w:val="22"/>
        </w:rPr>
        <w:t>,</w:t>
      </w:r>
      <w:r w:rsidRPr="00264045">
        <w:rPr>
          <w:i/>
          <w:iCs/>
          <w:sz w:val="22"/>
          <w:szCs w:val="22"/>
        </w:rPr>
        <w:t xml:space="preserve"> </w:t>
      </w:r>
      <w:r w:rsidR="00B4353C">
        <w:rPr>
          <w:iCs/>
          <w:sz w:val="22"/>
          <w:szCs w:val="22"/>
        </w:rPr>
        <w:t xml:space="preserve">vol. </w:t>
      </w:r>
      <w:r w:rsidRPr="00264045">
        <w:rPr>
          <w:sz w:val="22"/>
          <w:szCs w:val="22"/>
        </w:rPr>
        <w:t>15</w:t>
      </w:r>
      <w:r w:rsidR="00B4353C">
        <w:rPr>
          <w:sz w:val="22"/>
          <w:szCs w:val="22"/>
        </w:rPr>
        <w:t xml:space="preserve">, no. </w:t>
      </w:r>
      <w:r w:rsidRPr="00264045">
        <w:rPr>
          <w:sz w:val="22"/>
          <w:szCs w:val="22"/>
        </w:rPr>
        <w:t xml:space="preserve">1, </w:t>
      </w:r>
      <w:r w:rsidR="00955417">
        <w:rPr>
          <w:sz w:val="22"/>
          <w:szCs w:val="22"/>
        </w:rPr>
        <w:t xml:space="preserve">Feb. </w:t>
      </w:r>
      <w:r w:rsidR="00B4353C" w:rsidRPr="00264045">
        <w:rPr>
          <w:sz w:val="22"/>
          <w:szCs w:val="22"/>
        </w:rPr>
        <w:t>2008</w:t>
      </w:r>
      <w:r w:rsidR="00B4353C">
        <w:rPr>
          <w:sz w:val="22"/>
          <w:szCs w:val="22"/>
        </w:rPr>
        <w:t xml:space="preserve">, </w:t>
      </w:r>
      <w:r w:rsidRPr="00264045">
        <w:rPr>
          <w:sz w:val="22"/>
          <w:szCs w:val="22"/>
        </w:rPr>
        <w:t>pp. 23-39.</w:t>
      </w:r>
    </w:p>
    <w:p w14:paraId="5058F6F7" w14:textId="6AE2B9BA" w:rsidR="00FE3DD3" w:rsidRPr="00264045" w:rsidRDefault="00C36F8C">
      <w:pPr>
        <w:pStyle w:val="Footnote"/>
        <w:ind w:left="360" w:hanging="360"/>
        <w:rPr>
          <w:rFonts w:ascii="Times New Roman" w:hAnsi="Times New Roman"/>
        </w:rPr>
      </w:pPr>
      <w:r w:rsidRPr="00264045">
        <w:rPr>
          <w:rFonts w:ascii="Times New Roman" w:hAnsi="Times New Roman"/>
        </w:rPr>
        <w:t>Bakhtin, Mikhail</w:t>
      </w:r>
      <w:r w:rsidR="00B4353C">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Contemporary Vitalism</w:t>
      </w:r>
      <w:r w:rsidR="00B4353C">
        <w:rPr>
          <w:rFonts w:ascii="Times New Roman" w:hAnsi="Times New Roman"/>
        </w:rPr>
        <w:t>.</w:t>
      </w:r>
      <w:r w:rsidR="007B419C">
        <w:rPr>
          <w:rFonts w:ascii="Times New Roman" w:hAnsi="Times New Roman"/>
        </w:rPr>
        <w:t>”</w:t>
      </w:r>
      <w:r w:rsidRPr="00264045">
        <w:rPr>
          <w:rFonts w:ascii="Times New Roman" w:hAnsi="Times New Roman"/>
        </w:rPr>
        <w:t xml:space="preserve"> </w:t>
      </w:r>
      <w:r w:rsidR="00353248" w:rsidRPr="00264045">
        <w:rPr>
          <w:rFonts w:ascii="Times New Roman" w:hAnsi="Times New Roman"/>
          <w:i/>
          <w:iCs/>
        </w:rPr>
        <w:t>The Crisis in Modernism: Bergson and the Vitalist Controversy</w:t>
      </w:r>
      <w:r w:rsidR="009455BC">
        <w:rPr>
          <w:rFonts w:ascii="Times New Roman" w:hAnsi="Times New Roman"/>
          <w:i/>
          <w:iCs/>
        </w:rPr>
        <w:t>,</w:t>
      </w:r>
      <w:r w:rsidR="00353248" w:rsidRPr="00264045">
        <w:rPr>
          <w:rFonts w:ascii="Times New Roman" w:hAnsi="Times New Roman"/>
        </w:rPr>
        <w:t xml:space="preserve"> </w:t>
      </w:r>
      <w:r w:rsidR="009455BC">
        <w:rPr>
          <w:rFonts w:ascii="Times New Roman" w:hAnsi="Times New Roman"/>
        </w:rPr>
        <w:t>e</w:t>
      </w:r>
      <w:r w:rsidR="00353248">
        <w:rPr>
          <w:rFonts w:ascii="Times New Roman" w:hAnsi="Times New Roman"/>
        </w:rPr>
        <w:t>d</w:t>
      </w:r>
      <w:r w:rsidR="009455BC">
        <w:rPr>
          <w:rFonts w:ascii="Times New Roman" w:hAnsi="Times New Roman"/>
        </w:rPr>
        <w:t>ited by</w:t>
      </w:r>
      <w:r w:rsidR="00353248">
        <w:rPr>
          <w:rFonts w:ascii="Times New Roman" w:hAnsi="Times New Roman"/>
        </w:rPr>
        <w:t xml:space="preserve"> </w:t>
      </w:r>
      <w:r w:rsidRPr="00264045">
        <w:rPr>
          <w:rFonts w:ascii="Times New Roman" w:hAnsi="Times New Roman"/>
        </w:rPr>
        <w:t>F</w:t>
      </w:r>
      <w:r w:rsidR="008E0880">
        <w:rPr>
          <w:rFonts w:ascii="Times New Roman" w:hAnsi="Times New Roman"/>
        </w:rPr>
        <w:t>rederick</w:t>
      </w:r>
      <w:r w:rsidRPr="00264045">
        <w:rPr>
          <w:rFonts w:ascii="Times New Roman" w:hAnsi="Times New Roman"/>
        </w:rPr>
        <w:t xml:space="preserve"> </w:t>
      </w:r>
      <w:proofErr w:type="spellStart"/>
      <w:r w:rsidRPr="00264045">
        <w:rPr>
          <w:rFonts w:ascii="Times New Roman" w:hAnsi="Times New Roman"/>
        </w:rPr>
        <w:t>Burwick</w:t>
      </w:r>
      <w:proofErr w:type="spellEnd"/>
      <w:r w:rsidRPr="00264045">
        <w:rPr>
          <w:rFonts w:ascii="Times New Roman" w:hAnsi="Times New Roman"/>
        </w:rPr>
        <w:t xml:space="preserve"> and P</w:t>
      </w:r>
      <w:r w:rsidR="008E0880">
        <w:rPr>
          <w:rFonts w:ascii="Times New Roman" w:hAnsi="Times New Roman"/>
        </w:rPr>
        <w:t>aul</w:t>
      </w:r>
      <w:r w:rsidRPr="00264045">
        <w:rPr>
          <w:rFonts w:ascii="Times New Roman" w:hAnsi="Times New Roman"/>
        </w:rPr>
        <w:t xml:space="preserve"> Douglass</w:t>
      </w:r>
      <w:r w:rsidR="00353248">
        <w:rPr>
          <w:rFonts w:ascii="Times New Roman" w:hAnsi="Times New Roman"/>
          <w:i/>
          <w:iCs/>
        </w:rPr>
        <w:t>.</w:t>
      </w:r>
      <w:r w:rsidRPr="00264045">
        <w:rPr>
          <w:rFonts w:ascii="Times New Roman" w:hAnsi="Times New Roman"/>
          <w:i/>
          <w:iCs/>
        </w:rPr>
        <w:t xml:space="preserve"> </w:t>
      </w:r>
      <w:r w:rsidRPr="00264045">
        <w:rPr>
          <w:rFonts w:ascii="Times New Roman" w:hAnsi="Times New Roman"/>
        </w:rPr>
        <w:t>Cambridge: Cambridge U</w:t>
      </w:r>
      <w:r w:rsidR="00353248">
        <w:rPr>
          <w:rFonts w:ascii="Times New Roman" w:hAnsi="Times New Roman"/>
        </w:rPr>
        <w:t xml:space="preserve">niversity </w:t>
      </w:r>
      <w:r w:rsidRPr="00264045">
        <w:rPr>
          <w:rFonts w:ascii="Times New Roman" w:hAnsi="Times New Roman"/>
        </w:rPr>
        <w:t>P</w:t>
      </w:r>
      <w:r w:rsidR="00353248">
        <w:rPr>
          <w:rFonts w:ascii="Times New Roman" w:hAnsi="Times New Roman"/>
        </w:rPr>
        <w:t>ress</w:t>
      </w:r>
      <w:r w:rsidRPr="00264045">
        <w:rPr>
          <w:rFonts w:ascii="Times New Roman" w:hAnsi="Times New Roman"/>
        </w:rPr>
        <w:t>,</w:t>
      </w:r>
      <w:r w:rsidR="00B4353C">
        <w:rPr>
          <w:rFonts w:ascii="Times New Roman" w:hAnsi="Times New Roman"/>
        </w:rPr>
        <w:t xml:space="preserve"> </w:t>
      </w:r>
      <w:r w:rsidR="00B4353C" w:rsidRPr="00264045">
        <w:rPr>
          <w:rFonts w:ascii="Times New Roman" w:hAnsi="Times New Roman"/>
        </w:rPr>
        <w:t>2010</w:t>
      </w:r>
      <w:r w:rsidR="00353248">
        <w:rPr>
          <w:rFonts w:ascii="Times New Roman" w:hAnsi="Times New Roman"/>
        </w:rPr>
        <w:t>.</w:t>
      </w:r>
      <w:r w:rsidRPr="00264045">
        <w:rPr>
          <w:rFonts w:ascii="Times New Roman" w:hAnsi="Times New Roman"/>
        </w:rPr>
        <w:t xml:space="preserve"> 76-97.</w:t>
      </w:r>
    </w:p>
    <w:p w14:paraId="000753C7" w14:textId="15FEA5DC" w:rsidR="00B46A02" w:rsidRDefault="00B46A02">
      <w:pPr>
        <w:pStyle w:val="Footnote"/>
        <w:ind w:left="360" w:hanging="360"/>
        <w:rPr>
          <w:rFonts w:ascii="Times New Roman" w:hAnsi="Times New Roman"/>
        </w:rPr>
      </w:pPr>
      <w:r w:rsidRPr="00264045">
        <w:rPr>
          <w:rFonts w:ascii="Times New Roman" w:hAnsi="Times New Roman"/>
        </w:rPr>
        <w:t>Bannon, Bryan</w:t>
      </w:r>
      <w:r w:rsidR="00353248">
        <w:rPr>
          <w:rFonts w:ascii="Times New Roman" w:hAnsi="Times New Roman"/>
        </w:rPr>
        <w:t>.</w:t>
      </w:r>
      <w:r w:rsidRPr="00264045">
        <w:rPr>
          <w:rFonts w:ascii="Times New Roman" w:hAnsi="Times New Roman"/>
        </w:rPr>
        <w:t xml:space="preserve"> Review of Jane Bennett’s </w:t>
      </w:r>
      <w:r w:rsidR="007B419C">
        <w:rPr>
          <w:rFonts w:ascii="Times New Roman" w:hAnsi="Times New Roman"/>
        </w:rPr>
        <w:t>“</w:t>
      </w:r>
      <w:r w:rsidRPr="00264045">
        <w:rPr>
          <w:rFonts w:ascii="Times New Roman" w:hAnsi="Times New Roman"/>
        </w:rPr>
        <w:t>Vibrant Matter: A Political Ecology of Things</w:t>
      </w:r>
      <w:r w:rsidR="00353248">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rPr>
        <w:t xml:space="preserve">Environmental Philosophy </w:t>
      </w:r>
      <w:r w:rsidR="00353248">
        <w:rPr>
          <w:rFonts w:ascii="Times New Roman" w:hAnsi="Times New Roman"/>
        </w:rPr>
        <w:t xml:space="preserve">vol. </w:t>
      </w:r>
      <w:r w:rsidRPr="00264045">
        <w:rPr>
          <w:rFonts w:ascii="Times New Roman" w:hAnsi="Times New Roman"/>
        </w:rPr>
        <w:t>5</w:t>
      </w:r>
      <w:r w:rsidR="00353248">
        <w:rPr>
          <w:rFonts w:ascii="Times New Roman" w:hAnsi="Times New Roman"/>
        </w:rPr>
        <w:t xml:space="preserve">, no. </w:t>
      </w:r>
      <w:r w:rsidRPr="00264045">
        <w:rPr>
          <w:rFonts w:ascii="Times New Roman" w:hAnsi="Times New Roman"/>
        </w:rPr>
        <w:t>1,</w:t>
      </w:r>
      <w:r w:rsidR="00353248">
        <w:rPr>
          <w:rFonts w:ascii="Times New Roman" w:hAnsi="Times New Roman"/>
        </w:rPr>
        <w:t xml:space="preserve"> </w:t>
      </w:r>
      <w:r w:rsidR="004C0176">
        <w:rPr>
          <w:rFonts w:ascii="Times New Roman" w:hAnsi="Times New Roman"/>
        </w:rPr>
        <w:t xml:space="preserve">Spring </w:t>
      </w:r>
      <w:r w:rsidR="00353248">
        <w:rPr>
          <w:rFonts w:ascii="Times New Roman" w:hAnsi="Times New Roman"/>
        </w:rPr>
        <w:t>2011,</w:t>
      </w:r>
      <w:r w:rsidRPr="00264045">
        <w:rPr>
          <w:rFonts w:ascii="Times New Roman" w:hAnsi="Times New Roman"/>
          <w:i/>
        </w:rPr>
        <w:t xml:space="preserve"> </w:t>
      </w:r>
      <w:r w:rsidRPr="00264045">
        <w:rPr>
          <w:rFonts w:ascii="Times New Roman" w:hAnsi="Times New Roman"/>
        </w:rPr>
        <w:t>pp. 1-4.</w:t>
      </w:r>
    </w:p>
    <w:p w14:paraId="55DC1904" w14:textId="30375096" w:rsidR="00956A93" w:rsidRDefault="00956A93">
      <w:pPr>
        <w:pStyle w:val="Footnote"/>
        <w:ind w:left="360" w:hanging="360"/>
        <w:rPr>
          <w:rFonts w:ascii="Times New Roman" w:eastAsia="Times New Roman" w:hAnsi="Times New Roman" w:cs="Times New Roman"/>
        </w:rPr>
      </w:pPr>
      <w:r>
        <w:rPr>
          <w:rFonts w:ascii="Times New Roman" w:eastAsia="Times New Roman" w:hAnsi="Times New Roman" w:cs="Times New Roman"/>
        </w:rPr>
        <w:t xml:space="preserve">Barad, Karen. </w:t>
      </w:r>
      <w:r>
        <w:rPr>
          <w:rFonts w:ascii="Times New Roman" w:eastAsia="Times New Roman" w:hAnsi="Times New Roman" w:cs="Times New Roman"/>
          <w:i/>
        </w:rPr>
        <w:t>Meeting the Universe Halfway</w:t>
      </w:r>
      <w:r w:rsidR="00353248">
        <w:rPr>
          <w:rFonts w:ascii="Times New Roman" w:eastAsia="Times New Roman" w:hAnsi="Times New Roman" w:cs="Times New Roman"/>
          <w:i/>
        </w:rPr>
        <w:t>: Quantum Physics and the Entanglement of Matter and Meaning</w:t>
      </w:r>
      <w:r>
        <w:rPr>
          <w:rFonts w:ascii="Times New Roman" w:eastAsia="Times New Roman" w:hAnsi="Times New Roman" w:cs="Times New Roman"/>
        </w:rPr>
        <w:t>.</w:t>
      </w:r>
      <w:r w:rsidR="00353248">
        <w:rPr>
          <w:rFonts w:ascii="Times New Roman" w:eastAsia="Times New Roman" w:hAnsi="Times New Roman" w:cs="Times New Roman"/>
        </w:rPr>
        <w:t xml:space="preserve"> Durham: Duke University Press, 2007.</w:t>
      </w:r>
      <w:r>
        <w:rPr>
          <w:rFonts w:ascii="Times New Roman" w:eastAsia="Times New Roman" w:hAnsi="Times New Roman" w:cs="Times New Roman"/>
        </w:rPr>
        <w:t xml:space="preserve"> </w:t>
      </w:r>
    </w:p>
    <w:p w14:paraId="551B62E8" w14:textId="4F61761E" w:rsidR="005A023F" w:rsidRPr="005A023F" w:rsidRDefault="005A023F">
      <w:pPr>
        <w:pStyle w:val="Footnote"/>
        <w:ind w:left="360" w:hanging="360"/>
        <w:rPr>
          <w:rFonts w:ascii="Times New Roman" w:eastAsia="Times New Roman" w:hAnsi="Times New Roman" w:cs="Times New Roman"/>
        </w:rPr>
      </w:pPr>
      <w:r>
        <w:rPr>
          <w:rFonts w:ascii="Times New Roman" w:eastAsia="Times New Roman" w:hAnsi="Times New Roman" w:cs="Times New Roman"/>
        </w:rPr>
        <w:t>Basile, Jonathan. “</w:t>
      </w:r>
      <w:r w:rsidRPr="005A023F">
        <w:rPr>
          <w:rFonts w:ascii="Times New Roman" w:eastAsia="Times New Roman" w:hAnsi="Times New Roman" w:cs="Times New Roman"/>
        </w:rPr>
        <w:t>Other Matters: Karen Barad’s Two Materialisms and the Science of Undecidability</w:t>
      </w:r>
      <w:r>
        <w:rPr>
          <w:rFonts w:ascii="Times New Roman" w:eastAsia="Times New Roman" w:hAnsi="Times New Roman" w:cs="Times New Roman"/>
        </w:rPr>
        <w:t xml:space="preserve">.” </w:t>
      </w:r>
      <w:proofErr w:type="spellStart"/>
      <w:r>
        <w:rPr>
          <w:rFonts w:ascii="Times New Roman" w:eastAsia="Times New Roman" w:hAnsi="Times New Roman" w:cs="Times New Roman"/>
          <w:i/>
          <w:iCs/>
        </w:rPr>
        <w:t>Angelaki</w:t>
      </w:r>
      <w:proofErr w:type="spellEnd"/>
      <w:r>
        <w:rPr>
          <w:rFonts w:ascii="Times New Roman" w:eastAsia="Times New Roman" w:hAnsi="Times New Roman" w:cs="Times New Roman"/>
        </w:rPr>
        <w:t>, forthcoming.</w:t>
      </w:r>
    </w:p>
    <w:p w14:paraId="342597F1" w14:textId="1CEAD8CC" w:rsidR="00FE3DD3" w:rsidRPr="00264045" w:rsidRDefault="00C36F8C">
      <w:pPr>
        <w:pStyle w:val="Footnote"/>
        <w:ind w:left="360" w:hanging="360"/>
        <w:rPr>
          <w:rFonts w:ascii="Times New Roman" w:eastAsia="Times New Roman" w:hAnsi="Times New Roman" w:cs="Times New Roman"/>
        </w:rPr>
      </w:pPr>
      <w:r w:rsidRPr="00264045">
        <w:rPr>
          <w:rFonts w:ascii="Times New Roman" w:hAnsi="Times New Roman"/>
        </w:rPr>
        <w:lastRenderedPageBreak/>
        <w:t>Bennett, Jane</w:t>
      </w:r>
      <w:r w:rsidR="00353248">
        <w:rPr>
          <w:rFonts w:ascii="Times New Roman" w:hAnsi="Times New Roman"/>
        </w:rPr>
        <w:t>.</w:t>
      </w:r>
      <w:r w:rsidRPr="00264045">
        <w:rPr>
          <w:rFonts w:ascii="Times New Roman" w:hAnsi="Times New Roman"/>
        </w:rPr>
        <w:t xml:space="preserve"> Interview with Peter Gratton. </w:t>
      </w:r>
      <w:r w:rsidR="007B419C">
        <w:rPr>
          <w:rFonts w:ascii="Times New Roman" w:hAnsi="Times New Roman"/>
        </w:rPr>
        <w:t>“</w:t>
      </w:r>
      <w:r w:rsidRPr="00264045">
        <w:rPr>
          <w:rFonts w:ascii="Times New Roman" w:hAnsi="Times New Roman"/>
        </w:rPr>
        <w:t>Interview with Jane Bennett</w:t>
      </w:r>
      <w:r w:rsidR="00353248">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iCs/>
        </w:rPr>
        <w:t>Speculations</w:t>
      </w:r>
      <w:r w:rsidRPr="00264045">
        <w:rPr>
          <w:rFonts w:ascii="Times New Roman" w:hAnsi="Times New Roman"/>
        </w:rPr>
        <w:t xml:space="preserve"> </w:t>
      </w:r>
      <w:r w:rsidR="00353248">
        <w:rPr>
          <w:rFonts w:ascii="Times New Roman" w:hAnsi="Times New Roman"/>
        </w:rPr>
        <w:t xml:space="preserve">vol. </w:t>
      </w:r>
      <w:r w:rsidRPr="00264045">
        <w:rPr>
          <w:rFonts w:ascii="Times New Roman" w:hAnsi="Times New Roman"/>
        </w:rPr>
        <w:t>I</w:t>
      </w:r>
      <w:r w:rsidR="00353248">
        <w:rPr>
          <w:rFonts w:ascii="Times New Roman" w:hAnsi="Times New Roman"/>
        </w:rPr>
        <w:t xml:space="preserve">, 2010, pp. </w:t>
      </w:r>
      <w:r w:rsidRPr="00264045">
        <w:rPr>
          <w:rFonts w:ascii="Times New Roman" w:hAnsi="Times New Roman"/>
        </w:rPr>
        <w:t>96-102</w:t>
      </w:r>
      <w:r w:rsidR="00353248">
        <w:rPr>
          <w:rFonts w:ascii="Times New Roman" w:hAnsi="Times New Roman"/>
        </w:rPr>
        <w:t>.</w:t>
      </w:r>
    </w:p>
    <w:p w14:paraId="596E938A" w14:textId="37D8C370" w:rsidR="00624435" w:rsidRPr="00264045" w:rsidRDefault="00624435" w:rsidP="00AD4494">
      <w:pPr>
        <w:pStyle w:val="Footnote"/>
        <w:ind w:left="360" w:hanging="360"/>
        <w:rPr>
          <w:rFonts w:ascii="Times New Roman" w:hAnsi="Times New Roman"/>
        </w:rPr>
      </w:pPr>
      <w:r w:rsidRPr="00264045">
        <w:rPr>
          <w:rFonts w:ascii="Times New Roman" w:hAnsi="Times New Roman"/>
        </w:rPr>
        <w:t>Bennett, Jane</w:t>
      </w:r>
      <w:r w:rsidR="008E0880">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Of Material Sympathies, Paracelsus and Whitman</w:t>
      </w:r>
      <w:r w:rsidR="009455BC">
        <w:rPr>
          <w:rFonts w:ascii="Times New Roman" w:hAnsi="Times New Roman"/>
        </w:rPr>
        <w:t>,</w:t>
      </w:r>
      <w:r w:rsidR="007B419C">
        <w:rPr>
          <w:rFonts w:ascii="Times New Roman" w:hAnsi="Times New Roman"/>
        </w:rPr>
        <w:t>”</w:t>
      </w:r>
      <w:r w:rsidRPr="00264045">
        <w:rPr>
          <w:rFonts w:ascii="Times New Roman" w:hAnsi="Times New Roman"/>
        </w:rPr>
        <w:t xml:space="preserve"> </w:t>
      </w:r>
      <w:r w:rsidR="009455BC">
        <w:rPr>
          <w:rFonts w:ascii="Times New Roman" w:hAnsi="Times New Roman"/>
        </w:rPr>
        <w:t>e</w:t>
      </w:r>
      <w:r w:rsidR="008E0880">
        <w:rPr>
          <w:rFonts w:ascii="Times New Roman" w:hAnsi="Times New Roman"/>
        </w:rPr>
        <w:t>d</w:t>
      </w:r>
      <w:r w:rsidR="009455BC">
        <w:rPr>
          <w:rFonts w:ascii="Times New Roman" w:hAnsi="Times New Roman"/>
        </w:rPr>
        <w:t>ited by</w:t>
      </w:r>
      <w:r w:rsidRPr="00264045">
        <w:rPr>
          <w:rFonts w:ascii="Times New Roman" w:hAnsi="Times New Roman"/>
        </w:rPr>
        <w:t xml:space="preserve"> </w:t>
      </w:r>
      <w:proofErr w:type="spellStart"/>
      <w:r w:rsidRPr="00264045">
        <w:rPr>
          <w:rFonts w:ascii="Times New Roman" w:hAnsi="Times New Roman"/>
        </w:rPr>
        <w:t>S</w:t>
      </w:r>
      <w:r w:rsidR="008E0880">
        <w:rPr>
          <w:rFonts w:ascii="Times New Roman" w:hAnsi="Times New Roman"/>
        </w:rPr>
        <w:t>erenella</w:t>
      </w:r>
      <w:proofErr w:type="spellEnd"/>
      <w:r w:rsidRPr="00264045">
        <w:rPr>
          <w:rFonts w:ascii="Times New Roman" w:hAnsi="Times New Roman"/>
        </w:rPr>
        <w:t xml:space="preserve"> Iovino and S</w:t>
      </w:r>
      <w:r w:rsidR="008E0880">
        <w:rPr>
          <w:rFonts w:ascii="Times New Roman" w:hAnsi="Times New Roman"/>
        </w:rPr>
        <w:t>erpil</w:t>
      </w:r>
      <w:r w:rsidRPr="00264045">
        <w:rPr>
          <w:rFonts w:ascii="Times New Roman" w:hAnsi="Times New Roman"/>
        </w:rPr>
        <w:t xml:space="preserve"> </w:t>
      </w:r>
      <w:proofErr w:type="spellStart"/>
      <w:r w:rsidRPr="00264045">
        <w:rPr>
          <w:rFonts w:ascii="Times New Roman" w:hAnsi="Times New Roman"/>
        </w:rPr>
        <w:t>Oppermann</w:t>
      </w:r>
      <w:proofErr w:type="spellEnd"/>
      <w:r w:rsidR="008E0880">
        <w:rPr>
          <w:rFonts w:ascii="Times New Roman" w:hAnsi="Times New Roman"/>
        </w:rPr>
        <w:t>.</w:t>
      </w:r>
      <w:r w:rsidR="008C6169" w:rsidRPr="00264045">
        <w:rPr>
          <w:rFonts w:ascii="Times New Roman" w:hAnsi="Times New Roman"/>
        </w:rPr>
        <w:t xml:space="preserve"> </w:t>
      </w:r>
      <w:r w:rsidR="008C6169" w:rsidRPr="00264045">
        <w:rPr>
          <w:rFonts w:ascii="Times New Roman" w:hAnsi="Times New Roman"/>
          <w:i/>
        </w:rPr>
        <w:t>Material Ecocriticism</w:t>
      </w:r>
      <w:r w:rsidR="008C6169" w:rsidRPr="00264045">
        <w:rPr>
          <w:rFonts w:ascii="Times New Roman" w:hAnsi="Times New Roman"/>
        </w:rPr>
        <w:t xml:space="preserve">, </w:t>
      </w:r>
      <w:r w:rsidR="008E0880">
        <w:rPr>
          <w:rFonts w:ascii="Times New Roman" w:hAnsi="Times New Roman"/>
        </w:rPr>
        <w:t xml:space="preserve">Bloomington: </w:t>
      </w:r>
      <w:r w:rsidR="008C6169" w:rsidRPr="00264045">
        <w:rPr>
          <w:rFonts w:ascii="Times New Roman" w:hAnsi="Times New Roman"/>
        </w:rPr>
        <w:t>Indiana University Press,</w:t>
      </w:r>
      <w:r w:rsidR="008E0880">
        <w:rPr>
          <w:rFonts w:ascii="Times New Roman" w:hAnsi="Times New Roman"/>
        </w:rPr>
        <w:t xml:space="preserve"> </w:t>
      </w:r>
      <w:r w:rsidR="008E0880" w:rsidRPr="00264045">
        <w:rPr>
          <w:rFonts w:ascii="Times New Roman" w:hAnsi="Times New Roman"/>
        </w:rPr>
        <w:t>2014</w:t>
      </w:r>
      <w:r w:rsidR="008E0880">
        <w:rPr>
          <w:rFonts w:ascii="Times New Roman" w:hAnsi="Times New Roman"/>
        </w:rPr>
        <w:t>.</w:t>
      </w:r>
      <w:r w:rsidR="008C6169" w:rsidRPr="00264045">
        <w:rPr>
          <w:rFonts w:ascii="Times New Roman" w:hAnsi="Times New Roman"/>
        </w:rPr>
        <w:t xml:space="preserve"> 239-252.</w:t>
      </w:r>
    </w:p>
    <w:p w14:paraId="021F060E" w14:textId="000E9B62" w:rsidR="00AD4494" w:rsidRDefault="00AD4494">
      <w:pPr>
        <w:pStyle w:val="Footnote"/>
        <w:ind w:left="360" w:hanging="360"/>
        <w:rPr>
          <w:rFonts w:ascii="Times New Roman" w:hAnsi="Times New Roman"/>
        </w:rPr>
      </w:pPr>
      <w:r w:rsidRPr="00264045">
        <w:rPr>
          <w:rFonts w:ascii="Times New Roman" w:hAnsi="Times New Roman"/>
        </w:rPr>
        <w:t>Bennett, Jane</w:t>
      </w:r>
      <w:r w:rsidR="008E0880">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Ontology, sensibility, and action</w:t>
      </w:r>
      <w:r w:rsidR="008E0880">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rPr>
        <w:t>Contemporary Political Theory</w:t>
      </w:r>
      <w:r w:rsidR="008E0880">
        <w:rPr>
          <w:rFonts w:ascii="Times New Roman" w:hAnsi="Times New Roman"/>
          <w:i/>
        </w:rPr>
        <w:t>,</w:t>
      </w:r>
      <w:r w:rsidRPr="00264045">
        <w:rPr>
          <w:rFonts w:ascii="Times New Roman" w:hAnsi="Times New Roman"/>
        </w:rPr>
        <w:t xml:space="preserve"> </w:t>
      </w:r>
      <w:r w:rsidR="008E0880">
        <w:rPr>
          <w:rFonts w:ascii="Times New Roman" w:hAnsi="Times New Roman"/>
        </w:rPr>
        <w:t xml:space="preserve">vol. </w:t>
      </w:r>
      <w:r w:rsidRPr="00264045">
        <w:rPr>
          <w:rFonts w:ascii="Times New Roman" w:hAnsi="Times New Roman"/>
        </w:rPr>
        <w:t>14</w:t>
      </w:r>
      <w:r w:rsidR="008E0880">
        <w:rPr>
          <w:rFonts w:ascii="Times New Roman" w:hAnsi="Times New Roman"/>
        </w:rPr>
        <w:t xml:space="preserve">, no. </w:t>
      </w:r>
      <w:r w:rsidRPr="00264045">
        <w:rPr>
          <w:rFonts w:ascii="Times New Roman" w:hAnsi="Times New Roman"/>
        </w:rPr>
        <w:t>1,</w:t>
      </w:r>
      <w:r w:rsidR="008E0880">
        <w:rPr>
          <w:rFonts w:ascii="Times New Roman" w:hAnsi="Times New Roman"/>
        </w:rPr>
        <w:t xml:space="preserve"> </w:t>
      </w:r>
      <w:r w:rsidR="008E0880" w:rsidRPr="00264045">
        <w:rPr>
          <w:rFonts w:ascii="Times New Roman" w:hAnsi="Times New Roman"/>
        </w:rPr>
        <w:t>2015</w:t>
      </w:r>
      <w:r w:rsidR="008E0880">
        <w:rPr>
          <w:rFonts w:ascii="Times New Roman" w:hAnsi="Times New Roman"/>
        </w:rPr>
        <w:t>,</w:t>
      </w:r>
      <w:r w:rsidRPr="00264045">
        <w:rPr>
          <w:rFonts w:ascii="Times New Roman" w:hAnsi="Times New Roman"/>
        </w:rPr>
        <w:t xml:space="preserve"> pp. 82-89.</w:t>
      </w:r>
    </w:p>
    <w:p w14:paraId="4B6BAB09" w14:textId="15695F1D" w:rsidR="000F054E" w:rsidRPr="000F054E" w:rsidRDefault="000F054E" w:rsidP="000F054E">
      <w:pPr>
        <w:pStyle w:val="Footnote"/>
        <w:ind w:left="360" w:hanging="360"/>
        <w:rPr>
          <w:rFonts w:ascii="Times New Roman" w:eastAsia="Times New Roman" w:hAnsi="Times New Roman" w:cs="Times New Roman"/>
        </w:rPr>
      </w:pPr>
      <w:r w:rsidRPr="00264045">
        <w:rPr>
          <w:rFonts w:ascii="Times New Roman" w:hAnsi="Times New Roman"/>
        </w:rPr>
        <w:t>Bennett, Jane</w:t>
      </w:r>
      <w:r>
        <w:rPr>
          <w:rFonts w:ascii="Times New Roman" w:hAnsi="Times New Roman"/>
        </w:rPr>
        <w:t>.</w:t>
      </w:r>
      <w:r w:rsidRPr="00264045">
        <w:rPr>
          <w:rFonts w:ascii="Times New Roman" w:hAnsi="Times New Roman"/>
        </w:rPr>
        <w:t xml:space="preserve"> </w:t>
      </w:r>
      <w:r w:rsidRPr="00264045">
        <w:rPr>
          <w:rFonts w:ascii="Times New Roman" w:hAnsi="Times New Roman"/>
          <w:i/>
          <w:iCs/>
        </w:rPr>
        <w:t>Vibrant Matter: A Political Ecology of Things</w:t>
      </w:r>
      <w:r>
        <w:rPr>
          <w:rFonts w:ascii="Times New Roman" w:hAnsi="Times New Roman"/>
          <w:i/>
          <w:iCs/>
        </w:rPr>
        <w:t>.</w:t>
      </w:r>
      <w:r w:rsidRPr="00264045">
        <w:rPr>
          <w:rFonts w:ascii="Times New Roman" w:hAnsi="Times New Roman"/>
        </w:rPr>
        <w:t xml:space="preserve"> Durham: Duke University Press</w:t>
      </w:r>
      <w:r>
        <w:rPr>
          <w:rFonts w:ascii="Times New Roman" w:hAnsi="Times New Roman"/>
        </w:rPr>
        <w:t>, 2010</w:t>
      </w:r>
      <w:r>
        <w:rPr>
          <w:rFonts w:ascii="Times New Roman" w:eastAsia="Times New Roman" w:hAnsi="Times New Roman" w:cs="Times New Roman"/>
        </w:rPr>
        <w:t>.</w:t>
      </w:r>
    </w:p>
    <w:p w14:paraId="6AA3D23B" w14:textId="3BEBC9F5" w:rsidR="000F054E" w:rsidRPr="00264045" w:rsidRDefault="000F054E" w:rsidP="000F054E">
      <w:pPr>
        <w:pStyle w:val="Footnote"/>
        <w:ind w:left="360" w:hanging="360"/>
        <w:rPr>
          <w:rFonts w:ascii="Times New Roman" w:hAnsi="Times New Roman"/>
        </w:rPr>
      </w:pPr>
      <w:r w:rsidRPr="00264045">
        <w:rPr>
          <w:rFonts w:ascii="Times New Roman" w:hAnsi="Times New Roman"/>
        </w:rPr>
        <w:t>Bennett, Jane</w:t>
      </w:r>
      <w:r>
        <w:rPr>
          <w:rFonts w:ascii="Times New Roman" w:hAnsi="Times New Roman"/>
        </w:rPr>
        <w:t>.</w:t>
      </w:r>
      <w:r w:rsidRPr="00264045">
        <w:rPr>
          <w:rFonts w:ascii="Times New Roman" w:hAnsi="Times New Roman"/>
        </w:rPr>
        <w:t xml:space="preserve"> </w:t>
      </w:r>
      <w:r>
        <w:rPr>
          <w:rFonts w:ascii="Times New Roman" w:hAnsi="Times New Roman"/>
        </w:rPr>
        <w:t>“</w:t>
      </w:r>
      <w:r w:rsidRPr="00264045">
        <w:rPr>
          <w:rFonts w:ascii="Times New Roman" w:hAnsi="Times New Roman"/>
        </w:rPr>
        <w:t>A Vitalist Stopover on the Way to a New Materialism</w:t>
      </w:r>
      <w:r>
        <w:rPr>
          <w:rFonts w:ascii="Times New Roman" w:hAnsi="Times New Roman"/>
        </w:rPr>
        <w:t>.”</w:t>
      </w:r>
      <w:r w:rsidRPr="00264045">
        <w:rPr>
          <w:rFonts w:ascii="Times New Roman" w:hAnsi="Times New Roman"/>
        </w:rPr>
        <w:t xml:space="preserve"> </w:t>
      </w:r>
      <w:r w:rsidRPr="00264045">
        <w:rPr>
          <w:rFonts w:ascii="Times New Roman" w:hAnsi="Times New Roman"/>
          <w:i/>
          <w:iCs/>
        </w:rPr>
        <w:t>New Materialisms: Ontology, Agency, and Politics</w:t>
      </w:r>
      <w:r w:rsidR="009455BC">
        <w:rPr>
          <w:rFonts w:ascii="Times New Roman" w:hAnsi="Times New Roman"/>
          <w:i/>
          <w:iCs/>
        </w:rPr>
        <w:t>,</w:t>
      </w:r>
      <w:r w:rsidRPr="00264045">
        <w:rPr>
          <w:rFonts w:ascii="Times New Roman" w:hAnsi="Times New Roman"/>
        </w:rPr>
        <w:t xml:space="preserve"> </w:t>
      </w:r>
      <w:r w:rsidR="009455BC">
        <w:rPr>
          <w:rFonts w:ascii="Times New Roman" w:hAnsi="Times New Roman"/>
        </w:rPr>
        <w:t>e</w:t>
      </w:r>
      <w:r>
        <w:rPr>
          <w:rFonts w:ascii="Times New Roman" w:hAnsi="Times New Roman"/>
        </w:rPr>
        <w:t>d</w:t>
      </w:r>
      <w:r w:rsidR="009455BC">
        <w:rPr>
          <w:rFonts w:ascii="Times New Roman" w:hAnsi="Times New Roman"/>
        </w:rPr>
        <w:t>ited by</w:t>
      </w:r>
      <w:r>
        <w:rPr>
          <w:rFonts w:ascii="Times New Roman" w:hAnsi="Times New Roman"/>
        </w:rPr>
        <w:t xml:space="preserve"> </w:t>
      </w:r>
      <w:r w:rsidRPr="00264045">
        <w:rPr>
          <w:rFonts w:ascii="Times New Roman" w:hAnsi="Times New Roman"/>
        </w:rPr>
        <w:t>D</w:t>
      </w:r>
      <w:r>
        <w:rPr>
          <w:rFonts w:ascii="Times New Roman" w:hAnsi="Times New Roman"/>
        </w:rPr>
        <w:t>iana</w:t>
      </w:r>
      <w:r w:rsidRPr="00264045">
        <w:rPr>
          <w:rFonts w:ascii="Times New Roman" w:hAnsi="Times New Roman"/>
        </w:rPr>
        <w:t xml:space="preserve"> </w:t>
      </w:r>
      <w:proofErr w:type="spellStart"/>
      <w:r w:rsidRPr="00264045">
        <w:rPr>
          <w:rFonts w:ascii="Times New Roman" w:hAnsi="Times New Roman"/>
        </w:rPr>
        <w:t>Coole</w:t>
      </w:r>
      <w:proofErr w:type="spellEnd"/>
      <w:r w:rsidRPr="00264045">
        <w:rPr>
          <w:rFonts w:ascii="Times New Roman" w:hAnsi="Times New Roman"/>
        </w:rPr>
        <w:t xml:space="preserve"> and S</w:t>
      </w:r>
      <w:r>
        <w:rPr>
          <w:rFonts w:ascii="Times New Roman" w:hAnsi="Times New Roman"/>
        </w:rPr>
        <w:t>amantha</w:t>
      </w:r>
      <w:r w:rsidRPr="00264045">
        <w:rPr>
          <w:rFonts w:ascii="Times New Roman" w:hAnsi="Times New Roman"/>
        </w:rPr>
        <w:t xml:space="preserve"> Frost</w:t>
      </w:r>
      <w:r>
        <w:rPr>
          <w:rFonts w:ascii="Times New Roman" w:hAnsi="Times New Roman"/>
        </w:rPr>
        <w:t>.</w:t>
      </w:r>
      <w:r w:rsidRPr="00264045">
        <w:rPr>
          <w:rFonts w:ascii="Times New Roman" w:hAnsi="Times New Roman"/>
        </w:rPr>
        <w:t xml:space="preserve"> Durham: Duke University Press, </w:t>
      </w:r>
      <w:r>
        <w:rPr>
          <w:rFonts w:ascii="Times New Roman" w:hAnsi="Times New Roman"/>
        </w:rPr>
        <w:t xml:space="preserve">2010. </w:t>
      </w:r>
      <w:r w:rsidRPr="00264045">
        <w:rPr>
          <w:rFonts w:ascii="Times New Roman" w:hAnsi="Times New Roman"/>
        </w:rPr>
        <w:t>47-69.</w:t>
      </w:r>
    </w:p>
    <w:p w14:paraId="7B37F04B" w14:textId="7C0DE621" w:rsidR="008C6169" w:rsidRPr="00264045" w:rsidRDefault="008C6169">
      <w:pPr>
        <w:pStyle w:val="Footnote"/>
        <w:ind w:left="360" w:hanging="360"/>
        <w:rPr>
          <w:rFonts w:ascii="Times New Roman" w:eastAsia="Times New Roman" w:hAnsi="Times New Roman" w:cs="Times New Roman"/>
        </w:rPr>
      </w:pPr>
      <w:r w:rsidRPr="00264045">
        <w:rPr>
          <w:rFonts w:ascii="Times New Roman" w:hAnsi="Times New Roman"/>
        </w:rPr>
        <w:t>Bennett, Jane</w:t>
      </w:r>
      <w:r w:rsidR="008E0880">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Whitman’s Sympathies</w:t>
      </w:r>
      <w:r w:rsidR="008E0880">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rPr>
        <w:t>Political Research Quarterly</w:t>
      </w:r>
      <w:r w:rsidR="008E0880">
        <w:rPr>
          <w:rFonts w:ascii="Times New Roman" w:hAnsi="Times New Roman"/>
          <w:i/>
        </w:rPr>
        <w:t>,</w:t>
      </w:r>
      <w:r w:rsidRPr="00264045">
        <w:rPr>
          <w:rFonts w:ascii="Times New Roman" w:hAnsi="Times New Roman"/>
        </w:rPr>
        <w:t xml:space="preserve"> </w:t>
      </w:r>
      <w:r w:rsidR="008E0880">
        <w:rPr>
          <w:rFonts w:ascii="Times New Roman" w:hAnsi="Times New Roman"/>
        </w:rPr>
        <w:t xml:space="preserve">vol. </w:t>
      </w:r>
      <w:r w:rsidRPr="00264045">
        <w:rPr>
          <w:rFonts w:ascii="Times New Roman" w:hAnsi="Times New Roman"/>
        </w:rPr>
        <w:t>69</w:t>
      </w:r>
      <w:r w:rsidR="008E0880">
        <w:rPr>
          <w:rFonts w:ascii="Times New Roman" w:hAnsi="Times New Roman"/>
        </w:rPr>
        <w:t xml:space="preserve">, no. </w:t>
      </w:r>
      <w:r w:rsidRPr="00264045">
        <w:rPr>
          <w:rFonts w:ascii="Times New Roman" w:hAnsi="Times New Roman"/>
        </w:rPr>
        <w:t>3,</w:t>
      </w:r>
      <w:r w:rsidR="008E0880">
        <w:rPr>
          <w:rFonts w:ascii="Times New Roman" w:hAnsi="Times New Roman"/>
        </w:rPr>
        <w:t xml:space="preserve"> </w:t>
      </w:r>
      <w:r w:rsidR="00680A33">
        <w:rPr>
          <w:rFonts w:ascii="Times New Roman" w:hAnsi="Times New Roman"/>
        </w:rPr>
        <w:t>Sep.</w:t>
      </w:r>
      <w:r w:rsidR="004C41FA">
        <w:rPr>
          <w:rFonts w:ascii="Times New Roman" w:hAnsi="Times New Roman"/>
        </w:rPr>
        <w:t xml:space="preserve"> </w:t>
      </w:r>
      <w:r w:rsidR="008E0880" w:rsidRPr="00264045">
        <w:rPr>
          <w:rFonts w:ascii="Times New Roman" w:hAnsi="Times New Roman"/>
        </w:rPr>
        <w:t>201</w:t>
      </w:r>
      <w:r w:rsidR="004C41FA">
        <w:rPr>
          <w:rFonts w:ascii="Times New Roman" w:hAnsi="Times New Roman"/>
        </w:rPr>
        <w:t>6</w:t>
      </w:r>
      <w:r w:rsidR="008E0880">
        <w:rPr>
          <w:rFonts w:ascii="Times New Roman" w:hAnsi="Times New Roman"/>
        </w:rPr>
        <w:t>,</w:t>
      </w:r>
      <w:r w:rsidRPr="00264045">
        <w:rPr>
          <w:rFonts w:ascii="Times New Roman" w:hAnsi="Times New Roman"/>
        </w:rPr>
        <w:t xml:space="preserve"> pp. 607-620.</w:t>
      </w:r>
    </w:p>
    <w:p w14:paraId="2C0A69B5" w14:textId="1BD01F2A" w:rsidR="00FE3DD3" w:rsidRPr="00264045" w:rsidRDefault="00C36F8C">
      <w:pPr>
        <w:pStyle w:val="Footnote"/>
        <w:ind w:left="360" w:hanging="360"/>
        <w:rPr>
          <w:rFonts w:ascii="Times New Roman" w:hAnsi="Times New Roman"/>
        </w:rPr>
      </w:pPr>
      <w:r w:rsidRPr="00264045">
        <w:rPr>
          <w:rFonts w:ascii="Times New Roman" w:hAnsi="Times New Roman"/>
        </w:rPr>
        <w:t>Borges, Jorge L</w:t>
      </w:r>
      <w:r w:rsidR="006D4592">
        <w:rPr>
          <w:rFonts w:ascii="Times New Roman" w:hAnsi="Times New Roman"/>
        </w:rPr>
        <w:t>uis.</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 xml:space="preserve">Ramon </w:t>
      </w:r>
      <w:proofErr w:type="spellStart"/>
      <w:r w:rsidRPr="00264045">
        <w:rPr>
          <w:rFonts w:ascii="Times New Roman" w:hAnsi="Times New Roman"/>
        </w:rPr>
        <w:t>Llull’s</w:t>
      </w:r>
      <w:proofErr w:type="spellEnd"/>
      <w:r w:rsidRPr="00264045">
        <w:rPr>
          <w:rFonts w:ascii="Times New Roman" w:hAnsi="Times New Roman"/>
        </w:rPr>
        <w:t xml:space="preserve"> Thinking Machine</w:t>
      </w:r>
      <w:r w:rsidR="001846E6">
        <w:rPr>
          <w:rFonts w:ascii="Times New Roman" w:hAnsi="Times New Roman"/>
        </w:rPr>
        <w:t>,</w:t>
      </w:r>
      <w:r w:rsidR="007B419C">
        <w:rPr>
          <w:rFonts w:ascii="Times New Roman" w:hAnsi="Times New Roman"/>
        </w:rPr>
        <w:t>”</w:t>
      </w:r>
      <w:r w:rsidRPr="00264045">
        <w:rPr>
          <w:rFonts w:ascii="Times New Roman" w:hAnsi="Times New Roman"/>
        </w:rPr>
        <w:t xml:space="preserve"> </w:t>
      </w:r>
      <w:r w:rsidR="001846E6">
        <w:rPr>
          <w:rFonts w:ascii="Times New Roman" w:hAnsi="Times New Roman"/>
        </w:rPr>
        <w:t>t</w:t>
      </w:r>
      <w:r w:rsidRPr="00264045">
        <w:rPr>
          <w:rFonts w:ascii="Times New Roman" w:hAnsi="Times New Roman"/>
        </w:rPr>
        <w:t>rans</w:t>
      </w:r>
      <w:r w:rsidR="001846E6">
        <w:rPr>
          <w:rFonts w:ascii="Times New Roman" w:hAnsi="Times New Roman"/>
        </w:rPr>
        <w:t>lated by</w:t>
      </w:r>
      <w:r w:rsidRPr="00264045">
        <w:rPr>
          <w:rFonts w:ascii="Times New Roman" w:hAnsi="Times New Roman"/>
        </w:rPr>
        <w:t xml:space="preserve"> Esther Allen</w:t>
      </w:r>
      <w:r w:rsidR="00287CB0">
        <w:rPr>
          <w:rFonts w:ascii="Times New Roman" w:hAnsi="Times New Roman"/>
        </w:rPr>
        <w:t>.</w:t>
      </w:r>
      <w:r w:rsidRPr="00264045">
        <w:rPr>
          <w:rFonts w:ascii="Times New Roman" w:hAnsi="Times New Roman"/>
        </w:rPr>
        <w:t xml:space="preserve"> </w:t>
      </w:r>
      <w:r w:rsidRPr="00264045">
        <w:rPr>
          <w:rFonts w:ascii="Times New Roman" w:hAnsi="Times New Roman"/>
          <w:i/>
          <w:iCs/>
        </w:rPr>
        <w:t>Selected Non-Fictions</w:t>
      </w:r>
      <w:r w:rsidR="001846E6">
        <w:rPr>
          <w:rFonts w:ascii="Times New Roman" w:hAnsi="Times New Roman"/>
        </w:rPr>
        <w:t>,</w:t>
      </w:r>
      <w:r w:rsidR="00287CB0">
        <w:rPr>
          <w:rFonts w:ascii="Times New Roman" w:hAnsi="Times New Roman"/>
        </w:rPr>
        <w:t xml:space="preserve"> </w:t>
      </w:r>
      <w:r w:rsidR="001846E6">
        <w:rPr>
          <w:rFonts w:ascii="Times New Roman" w:hAnsi="Times New Roman"/>
        </w:rPr>
        <w:t>e</w:t>
      </w:r>
      <w:r w:rsidR="00287CB0">
        <w:rPr>
          <w:rFonts w:ascii="Times New Roman" w:hAnsi="Times New Roman"/>
        </w:rPr>
        <w:t>d</w:t>
      </w:r>
      <w:r w:rsidR="001846E6">
        <w:rPr>
          <w:rFonts w:ascii="Times New Roman" w:hAnsi="Times New Roman"/>
        </w:rPr>
        <w:t>ited by</w:t>
      </w:r>
      <w:r w:rsidR="00287CB0" w:rsidRPr="00264045">
        <w:rPr>
          <w:rFonts w:ascii="Times New Roman" w:hAnsi="Times New Roman"/>
        </w:rPr>
        <w:t xml:space="preserve"> Eliot Weinberger</w:t>
      </w:r>
      <w:r w:rsidR="00287CB0">
        <w:rPr>
          <w:rFonts w:ascii="Times New Roman" w:hAnsi="Times New Roman"/>
        </w:rPr>
        <w:t>.</w:t>
      </w:r>
      <w:r w:rsidRPr="00264045">
        <w:rPr>
          <w:rFonts w:ascii="Times New Roman" w:hAnsi="Times New Roman"/>
        </w:rPr>
        <w:t xml:space="preserve"> New York: Viking, </w:t>
      </w:r>
      <w:r w:rsidR="00287CB0">
        <w:rPr>
          <w:rFonts w:ascii="Times New Roman" w:hAnsi="Times New Roman"/>
        </w:rPr>
        <w:t>1999.</w:t>
      </w:r>
      <w:r w:rsidRPr="00264045">
        <w:rPr>
          <w:rFonts w:ascii="Times New Roman" w:hAnsi="Times New Roman"/>
        </w:rPr>
        <w:t xml:space="preserve"> 155-159.</w:t>
      </w:r>
    </w:p>
    <w:p w14:paraId="268603EC" w14:textId="565F9602" w:rsidR="00D459D9" w:rsidRPr="00264045" w:rsidRDefault="00D459D9">
      <w:pPr>
        <w:pStyle w:val="Footnote"/>
        <w:ind w:left="360" w:hanging="360"/>
        <w:rPr>
          <w:rFonts w:ascii="Times New Roman" w:eastAsia="Times New Roman" w:hAnsi="Times New Roman" w:cs="Times New Roman"/>
        </w:rPr>
      </w:pPr>
      <w:r w:rsidRPr="00264045">
        <w:rPr>
          <w:rFonts w:ascii="Times New Roman" w:hAnsi="Times New Roman"/>
        </w:rPr>
        <w:t>Braun, Bruce and Sarah</w:t>
      </w:r>
      <w:r w:rsidR="00D01A44">
        <w:rPr>
          <w:rFonts w:ascii="Times New Roman" w:hAnsi="Times New Roman"/>
        </w:rPr>
        <w:t xml:space="preserve"> </w:t>
      </w:r>
      <w:proofErr w:type="spellStart"/>
      <w:r w:rsidR="00D01A44">
        <w:rPr>
          <w:rFonts w:ascii="Times New Roman" w:hAnsi="Times New Roman"/>
        </w:rPr>
        <w:t>Whatmore</w:t>
      </w:r>
      <w:proofErr w:type="spellEnd"/>
      <w:r w:rsidR="00D01A44">
        <w:rPr>
          <w:rFonts w:ascii="Times New Roman" w:hAnsi="Times New Roman"/>
        </w:rPr>
        <w:t>.</w:t>
      </w:r>
      <w:r w:rsidR="00720EBD" w:rsidRPr="00264045">
        <w:rPr>
          <w:rFonts w:ascii="Times New Roman" w:hAnsi="Times New Roman"/>
        </w:rPr>
        <w:t xml:space="preserve"> </w:t>
      </w:r>
      <w:r w:rsidR="007B419C">
        <w:rPr>
          <w:rFonts w:ascii="Times New Roman" w:hAnsi="Times New Roman"/>
        </w:rPr>
        <w:t>“</w:t>
      </w:r>
      <w:r w:rsidR="00720EBD" w:rsidRPr="00264045">
        <w:rPr>
          <w:rFonts w:ascii="Times New Roman" w:hAnsi="Times New Roman"/>
        </w:rPr>
        <w:t>The Stuff of Politics: An Introduction</w:t>
      </w:r>
      <w:r w:rsidR="00D01A44">
        <w:rPr>
          <w:rFonts w:ascii="Times New Roman" w:hAnsi="Times New Roman"/>
        </w:rPr>
        <w:t>.</w:t>
      </w:r>
      <w:r w:rsidR="007B419C">
        <w:rPr>
          <w:rFonts w:ascii="Times New Roman" w:hAnsi="Times New Roman"/>
        </w:rPr>
        <w:t>”</w:t>
      </w:r>
      <w:r w:rsidR="00720EBD" w:rsidRPr="00264045">
        <w:rPr>
          <w:rFonts w:ascii="Times New Roman" w:hAnsi="Times New Roman"/>
        </w:rPr>
        <w:t xml:space="preserve"> </w:t>
      </w:r>
      <w:r w:rsidR="00720EBD" w:rsidRPr="00264045">
        <w:rPr>
          <w:rFonts w:ascii="Times New Roman" w:hAnsi="Times New Roman"/>
          <w:i/>
        </w:rPr>
        <w:t>Technoscience, Democracy, and Public Life</w:t>
      </w:r>
      <w:r w:rsidR="009455BC">
        <w:rPr>
          <w:rFonts w:ascii="Times New Roman" w:hAnsi="Times New Roman"/>
        </w:rPr>
        <w:t>,</w:t>
      </w:r>
      <w:r w:rsidR="00D01A44">
        <w:rPr>
          <w:rFonts w:ascii="Times New Roman" w:hAnsi="Times New Roman"/>
        </w:rPr>
        <w:t xml:space="preserve"> </w:t>
      </w:r>
      <w:r w:rsidR="009455BC">
        <w:rPr>
          <w:rFonts w:ascii="Times New Roman" w:hAnsi="Times New Roman"/>
        </w:rPr>
        <w:t>e</w:t>
      </w:r>
      <w:r w:rsidR="00D01A44">
        <w:rPr>
          <w:rFonts w:ascii="Times New Roman" w:hAnsi="Times New Roman"/>
        </w:rPr>
        <w:t>d</w:t>
      </w:r>
      <w:r w:rsidR="009455BC">
        <w:rPr>
          <w:rFonts w:ascii="Times New Roman" w:hAnsi="Times New Roman"/>
        </w:rPr>
        <w:t>ited by</w:t>
      </w:r>
      <w:r w:rsidR="00D01A44">
        <w:rPr>
          <w:rFonts w:ascii="Times New Roman" w:hAnsi="Times New Roman"/>
        </w:rPr>
        <w:t xml:space="preserve"> </w:t>
      </w:r>
      <w:r w:rsidR="00D01A44" w:rsidRPr="00264045">
        <w:rPr>
          <w:rFonts w:ascii="Times New Roman" w:hAnsi="Times New Roman"/>
        </w:rPr>
        <w:t>B</w:t>
      </w:r>
      <w:r w:rsidR="00D01A44">
        <w:rPr>
          <w:rFonts w:ascii="Times New Roman" w:hAnsi="Times New Roman"/>
        </w:rPr>
        <w:t>ruce</w:t>
      </w:r>
      <w:r w:rsidR="00D01A44" w:rsidRPr="00264045">
        <w:rPr>
          <w:rFonts w:ascii="Times New Roman" w:hAnsi="Times New Roman"/>
        </w:rPr>
        <w:t xml:space="preserve"> Braun and S</w:t>
      </w:r>
      <w:r w:rsidR="00D01A44">
        <w:rPr>
          <w:rFonts w:ascii="Times New Roman" w:hAnsi="Times New Roman"/>
        </w:rPr>
        <w:t>arah</w:t>
      </w:r>
      <w:r w:rsidR="00D01A44" w:rsidRPr="00264045">
        <w:rPr>
          <w:rFonts w:ascii="Times New Roman" w:hAnsi="Times New Roman"/>
        </w:rPr>
        <w:t xml:space="preserve"> </w:t>
      </w:r>
      <w:proofErr w:type="spellStart"/>
      <w:r w:rsidR="00D01A44" w:rsidRPr="00264045">
        <w:rPr>
          <w:rFonts w:ascii="Times New Roman" w:hAnsi="Times New Roman"/>
        </w:rPr>
        <w:t>Whatmore</w:t>
      </w:r>
      <w:proofErr w:type="spellEnd"/>
      <w:r w:rsidR="00D01A44">
        <w:rPr>
          <w:rFonts w:ascii="Times New Roman" w:hAnsi="Times New Roman"/>
        </w:rPr>
        <w:t>.</w:t>
      </w:r>
      <w:r w:rsidR="00720EBD" w:rsidRPr="00264045">
        <w:rPr>
          <w:rFonts w:ascii="Times New Roman" w:hAnsi="Times New Roman"/>
        </w:rPr>
        <w:t xml:space="preserve"> Minneapolis: University of Minnesota Press,</w:t>
      </w:r>
      <w:r w:rsidR="00D01A44">
        <w:rPr>
          <w:rFonts w:ascii="Times New Roman" w:hAnsi="Times New Roman"/>
        </w:rPr>
        <w:t xml:space="preserve"> 2010.</w:t>
      </w:r>
      <w:r w:rsidR="00720EBD" w:rsidRPr="00264045">
        <w:rPr>
          <w:rFonts w:ascii="Times New Roman" w:hAnsi="Times New Roman"/>
        </w:rPr>
        <w:t xml:space="preserve"> ix-xl.</w:t>
      </w:r>
    </w:p>
    <w:p w14:paraId="0B358925" w14:textId="175C305E" w:rsidR="00FE3DD3" w:rsidRPr="00264045" w:rsidRDefault="00C36F8C">
      <w:pPr>
        <w:pStyle w:val="Body"/>
        <w:ind w:left="360" w:hanging="360"/>
        <w:rPr>
          <w:sz w:val="22"/>
          <w:szCs w:val="22"/>
        </w:rPr>
      </w:pPr>
      <w:proofErr w:type="spellStart"/>
      <w:r w:rsidRPr="00264045">
        <w:rPr>
          <w:sz w:val="22"/>
          <w:szCs w:val="22"/>
        </w:rPr>
        <w:t>Coole</w:t>
      </w:r>
      <w:proofErr w:type="spellEnd"/>
      <w:r w:rsidRPr="00264045">
        <w:rPr>
          <w:sz w:val="22"/>
          <w:szCs w:val="22"/>
        </w:rPr>
        <w:t>, Diana and Samantha Frost</w:t>
      </w:r>
      <w:r w:rsidR="004D212D">
        <w:rPr>
          <w:sz w:val="22"/>
          <w:szCs w:val="22"/>
        </w:rPr>
        <w:t>.</w:t>
      </w:r>
      <w:r w:rsidRPr="00264045">
        <w:rPr>
          <w:sz w:val="22"/>
          <w:szCs w:val="22"/>
        </w:rPr>
        <w:t xml:space="preserve"> </w:t>
      </w:r>
      <w:r w:rsidR="007B419C">
        <w:rPr>
          <w:sz w:val="22"/>
          <w:szCs w:val="22"/>
        </w:rPr>
        <w:t>“</w:t>
      </w:r>
      <w:r w:rsidRPr="00264045">
        <w:rPr>
          <w:sz w:val="22"/>
          <w:szCs w:val="22"/>
        </w:rPr>
        <w:t>Introducing the New Materialisms</w:t>
      </w:r>
      <w:r w:rsidR="004D212D">
        <w:rPr>
          <w:sz w:val="22"/>
          <w:szCs w:val="22"/>
        </w:rPr>
        <w:t>.</w:t>
      </w:r>
      <w:r w:rsidR="007B419C">
        <w:rPr>
          <w:sz w:val="22"/>
          <w:szCs w:val="22"/>
        </w:rPr>
        <w:t>”</w:t>
      </w:r>
      <w:r w:rsidRPr="00264045">
        <w:rPr>
          <w:sz w:val="22"/>
          <w:szCs w:val="22"/>
        </w:rPr>
        <w:t xml:space="preserve"> </w:t>
      </w:r>
      <w:r w:rsidR="004D212D" w:rsidRPr="00264045">
        <w:rPr>
          <w:i/>
          <w:iCs/>
          <w:sz w:val="22"/>
          <w:szCs w:val="22"/>
        </w:rPr>
        <w:t>New Materialisms: Ontology, Agency, and Politics</w:t>
      </w:r>
      <w:r w:rsidR="00E54F98">
        <w:rPr>
          <w:i/>
          <w:iCs/>
          <w:sz w:val="22"/>
          <w:szCs w:val="22"/>
        </w:rPr>
        <w:t>,</w:t>
      </w:r>
      <w:r w:rsidR="004D212D">
        <w:rPr>
          <w:i/>
          <w:iCs/>
          <w:sz w:val="22"/>
          <w:szCs w:val="22"/>
        </w:rPr>
        <w:t xml:space="preserve"> </w:t>
      </w:r>
      <w:r w:rsidR="00E54F98">
        <w:rPr>
          <w:sz w:val="22"/>
          <w:szCs w:val="22"/>
        </w:rPr>
        <w:t>e</w:t>
      </w:r>
      <w:r w:rsidR="004D212D">
        <w:rPr>
          <w:sz w:val="22"/>
          <w:szCs w:val="22"/>
        </w:rPr>
        <w:t>d</w:t>
      </w:r>
      <w:r w:rsidR="00E54F98">
        <w:rPr>
          <w:sz w:val="22"/>
          <w:szCs w:val="22"/>
        </w:rPr>
        <w:t>ited by</w:t>
      </w:r>
      <w:r w:rsidR="004D212D">
        <w:rPr>
          <w:sz w:val="22"/>
          <w:szCs w:val="22"/>
        </w:rPr>
        <w:t xml:space="preserve"> </w:t>
      </w:r>
      <w:r w:rsidRPr="00264045">
        <w:rPr>
          <w:sz w:val="22"/>
          <w:szCs w:val="22"/>
        </w:rPr>
        <w:t>D</w:t>
      </w:r>
      <w:r w:rsidR="004D212D">
        <w:rPr>
          <w:sz w:val="22"/>
          <w:szCs w:val="22"/>
        </w:rPr>
        <w:t>iana</w:t>
      </w:r>
      <w:r w:rsidRPr="00264045">
        <w:rPr>
          <w:sz w:val="22"/>
          <w:szCs w:val="22"/>
        </w:rPr>
        <w:t xml:space="preserve"> </w:t>
      </w:r>
      <w:proofErr w:type="spellStart"/>
      <w:r w:rsidRPr="00264045">
        <w:rPr>
          <w:sz w:val="22"/>
          <w:szCs w:val="22"/>
        </w:rPr>
        <w:t>Coole</w:t>
      </w:r>
      <w:proofErr w:type="spellEnd"/>
      <w:r w:rsidRPr="00264045">
        <w:rPr>
          <w:sz w:val="22"/>
          <w:szCs w:val="22"/>
        </w:rPr>
        <w:t xml:space="preserve"> and S</w:t>
      </w:r>
      <w:r w:rsidR="004D212D">
        <w:rPr>
          <w:sz w:val="22"/>
          <w:szCs w:val="22"/>
        </w:rPr>
        <w:t>amantha</w:t>
      </w:r>
      <w:r w:rsidRPr="00264045">
        <w:rPr>
          <w:sz w:val="22"/>
          <w:szCs w:val="22"/>
        </w:rPr>
        <w:t xml:space="preserve"> Frost</w:t>
      </w:r>
      <w:r w:rsidR="004D212D">
        <w:rPr>
          <w:sz w:val="22"/>
          <w:szCs w:val="22"/>
        </w:rPr>
        <w:t>.</w:t>
      </w:r>
      <w:r w:rsidRPr="00264045">
        <w:rPr>
          <w:sz w:val="22"/>
          <w:szCs w:val="22"/>
        </w:rPr>
        <w:t xml:space="preserve"> Durham: Duke University Press, </w:t>
      </w:r>
      <w:r w:rsidR="004D212D">
        <w:rPr>
          <w:sz w:val="22"/>
          <w:szCs w:val="22"/>
        </w:rPr>
        <w:t>2010.</w:t>
      </w:r>
      <w:r w:rsidRPr="00264045">
        <w:rPr>
          <w:sz w:val="22"/>
          <w:szCs w:val="22"/>
        </w:rPr>
        <w:t xml:space="preserve"> 1-43.</w:t>
      </w:r>
    </w:p>
    <w:p w14:paraId="1FDB0C76" w14:textId="30E54D3C" w:rsidR="00FE3DD3" w:rsidRDefault="00C36F8C">
      <w:pPr>
        <w:pStyle w:val="Default"/>
        <w:ind w:left="360" w:hanging="360"/>
        <w:rPr>
          <w:rFonts w:ascii="Times New Roman" w:hAnsi="Times New Roman"/>
        </w:rPr>
      </w:pPr>
      <w:r w:rsidRPr="00264045">
        <w:rPr>
          <w:rFonts w:ascii="Times New Roman" w:hAnsi="Times New Roman"/>
        </w:rPr>
        <w:t>Cunningham, David</w:t>
      </w:r>
      <w:r w:rsidR="004D212D">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 xml:space="preserve">Logics of Generalization: Derrida, Grammatology and </w:t>
      </w:r>
      <w:proofErr w:type="spellStart"/>
      <w:r w:rsidRPr="00264045">
        <w:rPr>
          <w:rFonts w:ascii="Times New Roman" w:hAnsi="Times New Roman"/>
        </w:rPr>
        <w:t>Transdisciplinarity</w:t>
      </w:r>
      <w:proofErr w:type="spellEnd"/>
      <w:r w:rsidR="004D212D">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iCs/>
        </w:rPr>
        <w:t>Theory, Culture &amp; Society</w:t>
      </w:r>
      <w:r w:rsidR="004D212D">
        <w:rPr>
          <w:rFonts w:ascii="Times New Roman" w:hAnsi="Times New Roman"/>
          <w:i/>
          <w:iCs/>
        </w:rPr>
        <w:t>.</w:t>
      </w:r>
      <w:r w:rsidRPr="00264045">
        <w:rPr>
          <w:rFonts w:ascii="Times New Roman" w:hAnsi="Times New Roman"/>
          <w:i/>
          <w:iCs/>
        </w:rPr>
        <w:t xml:space="preserve"> </w:t>
      </w:r>
      <w:r w:rsidR="004D212D">
        <w:rPr>
          <w:rFonts w:ascii="Times New Roman" w:hAnsi="Times New Roman"/>
          <w:iCs/>
        </w:rPr>
        <w:t xml:space="preserve">Vol. </w:t>
      </w:r>
      <w:r w:rsidRPr="00264045">
        <w:rPr>
          <w:rFonts w:ascii="Times New Roman" w:hAnsi="Times New Roman"/>
        </w:rPr>
        <w:t>32</w:t>
      </w:r>
      <w:r w:rsidR="004D212D">
        <w:rPr>
          <w:rFonts w:ascii="Times New Roman" w:hAnsi="Times New Roman"/>
        </w:rPr>
        <w:t>, no.</w:t>
      </w:r>
      <w:r w:rsidRPr="00264045">
        <w:rPr>
          <w:rFonts w:ascii="Times New Roman" w:hAnsi="Times New Roman"/>
        </w:rPr>
        <w:t xml:space="preserve">5-6, </w:t>
      </w:r>
      <w:r w:rsidR="00F61358">
        <w:rPr>
          <w:rFonts w:ascii="Times New Roman" w:hAnsi="Times New Roman"/>
        </w:rPr>
        <w:t xml:space="preserve">Sep. </w:t>
      </w:r>
      <w:r w:rsidR="004D212D">
        <w:rPr>
          <w:rFonts w:ascii="Times New Roman" w:hAnsi="Times New Roman"/>
        </w:rPr>
        <w:t xml:space="preserve">2015, </w:t>
      </w:r>
      <w:r w:rsidRPr="00264045">
        <w:rPr>
          <w:rFonts w:ascii="Times New Roman" w:hAnsi="Times New Roman"/>
        </w:rPr>
        <w:t>pp. 79-107.</w:t>
      </w:r>
    </w:p>
    <w:p w14:paraId="6AB4E336" w14:textId="291076B6" w:rsidR="00434AAA" w:rsidRPr="00434AAA" w:rsidRDefault="00434AAA">
      <w:pPr>
        <w:pStyle w:val="Default"/>
        <w:ind w:left="360" w:hanging="360"/>
        <w:rPr>
          <w:rFonts w:ascii="Times New Roman" w:hAnsi="Times New Roman"/>
        </w:rPr>
      </w:pPr>
      <w:r>
        <w:rPr>
          <w:rFonts w:ascii="Times New Roman" w:hAnsi="Times New Roman"/>
        </w:rPr>
        <w:t xml:space="preserve">Davis, </w:t>
      </w:r>
      <w:proofErr w:type="spellStart"/>
      <w:r>
        <w:rPr>
          <w:rFonts w:ascii="Times New Roman" w:hAnsi="Times New Roman"/>
        </w:rPr>
        <w:t>Noela</w:t>
      </w:r>
      <w:proofErr w:type="spellEnd"/>
      <w:r>
        <w:rPr>
          <w:rFonts w:ascii="Times New Roman" w:hAnsi="Times New Roman"/>
        </w:rPr>
        <w:t xml:space="preserve">. “New Materialism and Feminism’s Anti-Biologism: A Response to Sara Ahmed.” </w:t>
      </w:r>
      <w:r>
        <w:rPr>
          <w:rFonts w:ascii="Times New Roman" w:hAnsi="Times New Roman"/>
          <w:i/>
        </w:rPr>
        <w:t>European Journal of Women’s Studies</w:t>
      </w:r>
      <w:r>
        <w:rPr>
          <w:rFonts w:ascii="Times New Roman" w:hAnsi="Times New Roman"/>
        </w:rPr>
        <w:t xml:space="preserve">, vol. 16, no.1, </w:t>
      </w:r>
      <w:r w:rsidR="00BB237C">
        <w:rPr>
          <w:rFonts w:ascii="Times New Roman" w:hAnsi="Times New Roman"/>
        </w:rPr>
        <w:t>Feb.</w:t>
      </w:r>
      <w:r w:rsidR="008225B1">
        <w:rPr>
          <w:rFonts w:ascii="Times New Roman" w:hAnsi="Times New Roman"/>
        </w:rPr>
        <w:t xml:space="preserve"> </w:t>
      </w:r>
      <w:r>
        <w:rPr>
          <w:rFonts w:ascii="Times New Roman" w:hAnsi="Times New Roman"/>
        </w:rPr>
        <w:t>2009, pp. 67-80.</w:t>
      </w:r>
    </w:p>
    <w:p w14:paraId="295F46EC" w14:textId="05097ED7" w:rsidR="00FE3DD3" w:rsidRPr="00264045" w:rsidRDefault="00C36F8C">
      <w:pPr>
        <w:pStyle w:val="Footnote"/>
        <w:ind w:left="360" w:hanging="360"/>
        <w:rPr>
          <w:rFonts w:ascii="Times New Roman" w:eastAsia="Times New Roman" w:hAnsi="Times New Roman" w:cs="Times New Roman"/>
        </w:rPr>
      </w:pPr>
      <w:r w:rsidRPr="00264045">
        <w:rPr>
          <w:rFonts w:ascii="Times New Roman" w:hAnsi="Times New Roman"/>
        </w:rPr>
        <w:t xml:space="preserve">Derrida, Jacques, and Elisabeth </w:t>
      </w:r>
      <w:proofErr w:type="spellStart"/>
      <w:r w:rsidRPr="00264045">
        <w:rPr>
          <w:rFonts w:ascii="Times New Roman" w:hAnsi="Times New Roman"/>
        </w:rPr>
        <w:t>Roudinesco</w:t>
      </w:r>
      <w:proofErr w:type="spellEnd"/>
      <w:r w:rsidRPr="00264045">
        <w:rPr>
          <w:rFonts w:ascii="Times New Roman" w:hAnsi="Times New Roman"/>
        </w:rPr>
        <w:t xml:space="preserve">, </w:t>
      </w:r>
      <w:r w:rsidRPr="00264045">
        <w:rPr>
          <w:rFonts w:ascii="Times New Roman" w:hAnsi="Times New Roman"/>
          <w:i/>
          <w:iCs/>
        </w:rPr>
        <w:t>For What Tomorrow: A Dialogue</w:t>
      </w:r>
      <w:r w:rsidR="001846E6">
        <w:rPr>
          <w:rFonts w:ascii="Times New Roman" w:hAnsi="Times New Roman"/>
          <w:i/>
          <w:iCs/>
        </w:rPr>
        <w:t>,</w:t>
      </w:r>
      <w:r w:rsidRPr="00264045">
        <w:rPr>
          <w:rFonts w:ascii="Times New Roman" w:hAnsi="Times New Roman"/>
        </w:rPr>
        <w:t xml:space="preserve"> </w:t>
      </w:r>
      <w:r w:rsidR="001846E6">
        <w:rPr>
          <w:rFonts w:ascii="Times New Roman" w:hAnsi="Times New Roman"/>
        </w:rPr>
        <w:t>t</w:t>
      </w:r>
      <w:r w:rsidRPr="00264045">
        <w:rPr>
          <w:rFonts w:ascii="Times New Roman" w:hAnsi="Times New Roman"/>
        </w:rPr>
        <w:t>rans</w:t>
      </w:r>
      <w:r w:rsidR="001846E6">
        <w:rPr>
          <w:rFonts w:ascii="Times New Roman" w:hAnsi="Times New Roman"/>
        </w:rPr>
        <w:t>lated by</w:t>
      </w:r>
      <w:r w:rsidRPr="00264045">
        <w:rPr>
          <w:rFonts w:ascii="Times New Roman" w:hAnsi="Times New Roman"/>
        </w:rPr>
        <w:t xml:space="preserve"> Jeff Fort</w:t>
      </w:r>
      <w:r w:rsidR="004D212D">
        <w:rPr>
          <w:rFonts w:ascii="Times New Roman" w:hAnsi="Times New Roman"/>
        </w:rPr>
        <w:t>.</w:t>
      </w:r>
      <w:r w:rsidRPr="00264045">
        <w:rPr>
          <w:rFonts w:ascii="Times New Roman" w:hAnsi="Times New Roman"/>
        </w:rPr>
        <w:t xml:space="preserve"> Stanford: Stanford University Press</w:t>
      </w:r>
      <w:r w:rsidR="004D212D">
        <w:rPr>
          <w:rFonts w:ascii="Times New Roman" w:hAnsi="Times New Roman"/>
        </w:rPr>
        <w:t xml:space="preserve">, </w:t>
      </w:r>
      <w:r w:rsidR="004D212D" w:rsidRPr="00264045">
        <w:rPr>
          <w:rFonts w:ascii="Times New Roman" w:hAnsi="Times New Roman"/>
        </w:rPr>
        <w:t>2004</w:t>
      </w:r>
      <w:r w:rsidRPr="00264045">
        <w:rPr>
          <w:rFonts w:ascii="Times New Roman" w:hAnsi="Times New Roman"/>
        </w:rPr>
        <w:t>.</w:t>
      </w:r>
    </w:p>
    <w:p w14:paraId="47309E4E" w14:textId="3A9ADB32" w:rsidR="00FE3DD3" w:rsidRPr="00264045" w:rsidRDefault="00C36F8C">
      <w:pPr>
        <w:pStyle w:val="Footnote"/>
        <w:ind w:left="360" w:hanging="360"/>
        <w:rPr>
          <w:rFonts w:ascii="Times New Roman" w:eastAsia="Times New Roman" w:hAnsi="Times New Roman" w:cs="Times New Roman"/>
        </w:rPr>
      </w:pPr>
      <w:proofErr w:type="spellStart"/>
      <w:r w:rsidRPr="00264045">
        <w:rPr>
          <w:rFonts w:ascii="Times New Roman" w:hAnsi="Times New Roman"/>
          <w:lang w:val="it-IT"/>
        </w:rPr>
        <w:t>Driesch</w:t>
      </w:r>
      <w:proofErr w:type="spellEnd"/>
      <w:r w:rsidRPr="00264045">
        <w:rPr>
          <w:rFonts w:ascii="Times New Roman" w:hAnsi="Times New Roman"/>
          <w:lang w:val="it-IT"/>
        </w:rPr>
        <w:t>, Hans</w:t>
      </w:r>
      <w:r w:rsidR="004D212D">
        <w:rPr>
          <w:rFonts w:ascii="Times New Roman" w:hAnsi="Times New Roman"/>
        </w:rPr>
        <w:t>.</w:t>
      </w:r>
      <w:r w:rsidRPr="00264045">
        <w:rPr>
          <w:rFonts w:ascii="Times New Roman" w:hAnsi="Times New Roman"/>
        </w:rPr>
        <w:t xml:space="preserve"> </w:t>
      </w:r>
      <w:r w:rsidRPr="00264045">
        <w:rPr>
          <w:rFonts w:ascii="Times New Roman" w:hAnsi="Times New Roman"/>
          <w:i/>
          <w:iCs/>
        </w:rPr>
        <w:t>The History and Theory of Vitalism</w:t>
      </w:r>
      <w:r w:rsidRPr="00264045">
        <w:rPr>
          <w:rFonts w:ascii="Times New Roman" w:hAnsi="Times New Roman"/>
          <w:lang w:val="de-DE"/>
        </w:rPr>
        <w:t>. London: Macmillan</w:t>
      </w:r>
      <w:r w:rsidR="004D212D">
        <w:rPr>
          <w:rFonts w:ascii="Times New Roman" w:hAnsi="Times New Roman"/>
          <w:lang w:val="de-DE"/>
        </w:rPr>
        <w:t>, 1914</w:t>
      </w:r>
      <w:r w:rsidRPr="00264045">
        <w:rPr>
          <w:rFonts w:ascii="Times New Roman" w:hAnsi="Times New Roman"/>
        </w:rPr>
        <w:t>.</w:t>
      </w:r>
    </w:p>
    <w:p w14:paraId="2F35F69F" w14:textId="6D96FD08" w:rsidR="00FE3DD3" w:rsidRPr="00264045" w:rsidRDefault="00C36F8C">
      <w:pPr>
        <w:pStyle w:val="Footnote"/>
        <w:ind w:left="360" w:hanging="360"/>
        <w:rPr>
          <w:rFonts w:ascii="Times New Roman" w:eastAsia="Times New Roman" w:hAnsi="Times New Roman" w:cs="Times New Roman"/>
        </w:rPr>
      </w:pPr>
      <w:proofErr w:type="spellStart"/>
      <w:r w:rsidRPr="00264045">
        <w:rPr>
          <w:rFonts w:ascii="Times New Roman" w:hAnsi="Times New Roman"/>
        </w:rPr>
        <w:t>Gleick</w:t>
      </w:r>
      <w:proofErr w:type="spellEnd"/>
      <w:r w:rsidRPr="00264045">
        <w:rPr>
          <w:rFonts w:ascii="Times New Roman" w:hAnsi="Times New Roman"/>
        </w:rPr>
        <w:t>, James</w:t>
      </w:r>
      <w:r w:rsidR="004D212D">
        <w:rPr>
          <w:rFonts w:ascii="Times New Roman" w:hAnsi="Times New Roman"/>
        </w:rPr>
        <w:t>.</w:t>
      </w:r>
      <w:r w:rsidRPr="00264045">
        <w:rPr>
          <w:rFonts w:ascii="Times New Roman" w:hAnsi="Times New Roman"/>
        </w:rPr>
        <w:t xml:space="preserve"> </w:t>
      </w:r>
      <w:r w:rsidRPr="00264045">
        <w:rPr>
          <w:rFonts w:ascii="Times New Roman" w:hAnsi="Times New Roman"/>
          <w:i/>
          <w:iCs/>
        </w:rPr>
        <w:t>Chaos: Making a New Science</w:t>
      </w:r>
      <w:r w:rsidR="004D212D">
        <w:rPr>
          <w:rFonts w:ascii="Times New Roman" w:hAnsi="Times New Roman"/>
          <w:i/>
          <w:iCs/>
        </w:rPr>
        <w:t>.</w:t>
      </w:r>
      <w:r w:rsidRPr="00264045">
        <w:rPr>
          <w:rFonts w:ascii="Times New Roman" w:hAnsi="Times New Roman"/>
          <w:i/>
          <w:iCs/>
        </w:rPr>
        <w:t xml:space="preserve"> </w:t>
      </w:r>
      <w:r w:rsidRPr="00264045">
        <w:rPr>
          <w:rFonts w:ascii="Times New Roman" w:hAnsi="Times New Roman"/>
        </w:rPr>
        <w:t>New York: Viking</w:t>
      </w:r>
      <w:r w:rsidR="004D212D">
        <w:rPr>
          <w:rFonts w:ascii="Times New Roman" w:hAnsi="Times New Roman"/>
        </w:rPr>
        <w:t>, 1987</w:t>
      </w:r>
      <w:r w:rsidRPr="00264045">
        <w:rPr>
          <w:rFonts w:ascii="Times New Roman" w:hAnsi="Times New Roman"/>
        </w:rPr>
        <w:t>.</w:t>
      </w:r>
    </w:p>
    <w:p w14:paraId="57B9EBCD" w14:textId="0F8F694D" w:rsidR="002032B8" w:rsidRDefault="002032B8">
      <w:pPr>
        <w:pStyle w:val="Footnote"/>
        <w:ind w:left="360" w:hanging="360"/>
        <w:rPr>
          <w:rFonts w:ascii="Times New Roman" w:hAnsi="Times New Roman"/>
        </w:rPr>
      </w:pPr>
      <w:r w:rsidRPr="002032B8">
        <w:rPr>
          <w:rFonts w:ascii="Times New Roman" w:hAnsi="Times New Roman"/>
        </w:rPr>
        <w:t>Hegel,</w:t>
      </w:r>
      <w:r>
        <w:rPr>
          <w:rFonts w:ascii="Times New Roman" w:hAnsi="Times New Roman"/>
        </w:rPr>
        <w:t xml:space="preserve"> </w:t>
      </w:r>
      <w:r w:rsidRPr="002032B8">
        <w:rPr>
          <w:rFonts w:ascii="Times New Roman" w:hAnsi="Times New Roman"/>
        </w:rPr>
        <w:t>Georg Wilhelm Friedrich</w:t>
      </w:r>
      <w:r w:rsidR="006A3203">
        <w:rPr>
          <w:rFonts w:ascii="Times New Roman" w:hAnsi="Times New Roman"/>
        </w:rPr>
        <w:t>.</w:t>
      </w:r>
      <w:r w:rsidRPr="002032B8">
        <w:rPr>
          <w:rFonts w:ascii="Times New Roman" w:hAnsi="Times New Roman"/>
        </w:rPr>
        <w:t xml:space="preserve"> </w:t>
      </w:r>
      <w:r w:rsidRPr="006A3203">
        <w:rPr>
          <w:rFonts w:ascii="Times New Roman" w:hAnsi="Times New Roman"/>
          <w:i/>
        </w:rPr>
        <w:t xml:space="preserve">The </w:t>
      </w:r>
      <w:proofErr w:type="spellStart"/>
      <w:r w:rsidRPr="006A3203">
        <w:rPr>
          <w:rFonts w:ascii="Times New Roman" w:hAnsi="Times New Roman"/>
          <w:i/>
        </w:rPr>
        <w:t>Encyclopaedia</w:t>
      </w:r>
      <w:proofErr w:type="spellEnd"/>
      <w:r w:rsidRPr="006A3203">
        <w:rPr>
          <w:rFonts w:ascii="Times New Roman" w:hAnsi="Times New Roman"/>
          <w:i/>
        </w:rPr>
        <w:t xml:space="preserve"> Logic, with the </w:t>
      </w:r>
      <w:proofErr w:type="spellStart"/>
      <w:r w:rsidRPr="006A3203">
        <w:rPr>
          <w:rFonts w:ascii="Times New Roman" w:hAnsi="Times New Roman"/>
          <w:i/>
        </w:rPr>
        <w:t>Zusätze</w:t>
      </w:r>
      <w:proofErr w:type="spellEnd"/>
      <w:r w:rsidRPr="006A3203">
        <w:rPr>
          <w:rFonts w:ascii="Times New Roman" w:hAnsi="Times New Roman"/>
          <w:i/>
        </w:rPr>
        <w:t xml:space="preserve">: Part I of the </w:t>
      </w:r>
      <w:proofErr w:type="spellStart"/>
      <w:r w:rsidRPr="006A3203">
        <w:rPr>
          <w:rFonts w:ascii="Times New Roman" w:hAnsi="Times New Roman"/>
          <w:i/>
        </w:rPr>
        <w:t>Encyclopaedia</w:t>
      </w:r>
      <w:proofErr w:type="spellEnd"/>
      <w:r w:rsidRPr="006A3203">
        <w:rPr>
          <w:rFonts w:ascii="Times New Roman" w:hAnsi="Times New Roman"/>
          <w:i/>
        </w:rPr>
        <w:t xml:space="preserve"> of Philosophical Sciences with the </w:t>
      </w:r>
      <w:proofErr w:type="spellStart"/>
      <w:r w:rsidRPr="006A3203">
        <w:rPr>
          <w:rFonts w:ascii="Times New Roman" w:hAnsi="Times New Roman"/>
          <w:i/>
        </w:rPr>
        <w:t>Zusätze</w:t>
      </w:r>
      <w:proofErr w:type="spellEnd"/>
      <w:r w:rsidR="001846E6">
        <w:rPr>
          <w:rFonts w:ascii="Times New Roman" w:hAnsi="Times New Roman"/>
        </w:rPr>
        <w:t>,</w:t>
      </w:r>
      <w:r w:rsidRPr="002032B8">
        <w:rPr>
          <w:rFonts w:ascii="Times New Roman" w:hAnsi="Times New Roman"/>
        </w:rPr>
        <w:t xml:space="preserve"> </w:t>
      </w:r>
      <w:r w:rsidR="001846E6">
        <w:rPr>
          <w:rFonts w:ascii="Times New Roman" w:hAnsi="Times New Roman"/>
        </w:rPr>
        <w:t>t</w:t>
      </w:r>
      <w:r w:rsidRPr="002032B8">
        <w:rPr>
          <w:rFonts w:ascii="Times New Roman" w:hAnsi="Times New Roman"/>
        </w:rPr>
        <w:t>rans</w:t>
      </w:r>
      <w:r w:rsidR="001846E6">
        <w:rPr>
          <w:rFonts w:ascii="Times New Roman" w:hAnsi="Times New Roman"/>
        </w:rPr>
        <w:t>lated by</w:t>
      </w:r>
      <w:r w:rsidRPr="002032B8">
        <w:rPr>
          <w:rFonts w:ascii="Times New Roman" w:hAnsi="Times New Roman"/>
        </w:rPr>
        <w:t xml:space="preserve"> Théodore F. </w:t>
      </w:r>
      <w:proofErr w:type="spellStart"/>
      <w:r w:rsidRPr="002032B8">
        <w:rPr>
          <w:rFonts w:ascii="Times New Roman" w:hAnsi="Times New Roman"/>
        </w:rPr>
        <w:t>Geraets</w:t>
      </w:r>
      <w:proofErr w:type="spellEnd"/>
      <w:r w:rsidRPr="002032B8">
        <w:rPr>
          <w:rFonts w:ascii="Times New Roman" w:hAnsi="Times New Roman"/>
        </w:rPr>
        <w:t xml:space="preserve">, W. A. </w:t>
      </w:r>
      <w:proofErr w:type="spellStart"/>
      <w:r w:rsidRPr="002032B8">
        <w:rPr>
          <w:rFonts w:ascii="Times New Roman" w:hAnsi="Times New Roman"/>
        </w:rPr>
        <w:t>Suchting</w:t>
      </w:r>
      <w:proofErr w:type="spellEnd"/>
      <w:r w:rsidRPr="002032B8">
        <w:rPr>
          <w:rFonts w:ascii="Times New Roman" w:hAnsi="Times New Roman"/>
        </w:rPr>
        <w:t>, and H. S. Harris</w:t>
      </w:r>
      <w:r w:rsidR="004D212D">
        <w:rPr>
          <w:rFonts w:ascii="Times New Roman" w:hAnsi="Times New Roman"/>
        </w:rPr>
        <w:t>.</w:t>
      </w:r>
      <w:r w:rsidRPr="002032B8">
        <w:rPr>
          <w:rFonts w:ascii="Times New Roman" w:hAnsi="Times New Roman"/>
        </w:rPr>
        <w:t xml:space="preserve"> Indianapolis: Hackett, 1991.</w:t>
      </w:r>
    </w:p>
    <w:p w14:paraId="184238D9" w14:textId="527A8C94" w:rsidR="0026766E" w:rsidRDefault="0026766E">
      <w:pPr>
        <w:pStyle w:val="Footnote"/>
        <w:ind w:left="360" w:hanging="360"/>
        <w:rPr>
          <w:rFonts w:ascii="Times New Roman" w:hAnsi="Times New Roman"/>
        </w:rPr>
      </w:pPr>
      <w:r>
        <w:rPr>
          <w:rFonts w:ascii="Times New Roman" w:hAnsi="Times New Roman"/>
        </w:rPr>
        <w:t xml:space="preserve">Kant, Immanuel. </w:t>
      </w:r>
      <w:proofErr w:type="gramStart"/>
      <w:r>
        <w:rPr>
          <w:rFonts w:ascii="Times New Roman" w:hAnsi="Times New Roman"/>
          <w:i/>
        </w:rPr>
        <w:t>Critique of Judgment</w:t>
      </w:r>
      <w:r w:rsidR="001846E6">
        <w:rPr>
          <w:rFonts w:ascii="Times New Roman" w:hAnsi="Times New Roman"/>
        </w:rPr>
        <w:t>,</w:t>
      </w:r>
      <w:proofErr w:type="gramEnd"/>
      <w:r w:rsidR="00F5046A">
        <w:rPr>
          <w:rFonts w:ascii="Times New Roman" w:hAnsi="Times New Roman"/>
        </w:rPr>
        <w:t xml:space="preserve"> </w:t>
      </w:r>
      <w:r w:rsidR="001846E6">
        <w:rPr>
          <w:rFonts w:ascii="Times New Roman" w:hAnsi="Times New Roman"/>
        </w:rPr>
        <w:t>t</w:t>
      </w:r>
      <w:r w:rsidR="005F2EED">
        <w:rPr>
          <w:rFonts w:ascii="Times New Roman" w:hAnsi="Times New Roman"/>
        </w:rPr>
        <w:t>rans</w:t>
      </w:r>
      <w:r w:rsidR="001846E6">
        <w:rPr>
          <w:rFonts w:ascii="Times New Roman" w:hAnsi="Times New Roman"/>
        </w:rPr>
        <w:t>lated by</w:t>
      </w:r>
      <w:r w:rsidR="005F2EED">
        <w:rPr>
          <w:rFonts w:ascii="Times New Roman" w:hAnsi="Times New Roman"/>
        </w:rPr>
        <w:t xml:space="preserve"> Werner </w:t>
      </w:r>
      <w:proofErr w:type="spellStart"/>
      <w:r w:rsidR="005F2EED">
        <w:rPr>
          <w:rFonts w:ascii="Times New Roman" w:hAnsi="Times New Roman"/>
        </w:rPr>
        <w:t>Pluhar</w:t>
      </w:r>
      <w:proofErr w:type="spellEnd"/>
      <w:r w:rsidR="005F2EED">
        <w:rPr>
          <w:rFonts w:ascii="Times New Roman" w:hAnsi="Times New Roman"/>
        </w:rPr>
        <w:t>. Indianapolis: Hackett, 1987.</w:t>
      </w:r>
      <w:r>
        <w:rPr>
          <w:rFonts w:ascii="Times New Roman" w:hAnsi="Times New Roman"/>
        </w:rPr>
        <w:t xml:space="preserve"> </w:t>
      </w:r>
    </w:p>
    <w:p w14:paraId="426FE81A" w14:textId="7C428E5A" w:rsidR="00125515" w:rsidRPr="00125515" w:rsidRDefault="00125515">
      <w:pPr>
        <w:pStyle w:val="Footnote"/>
        <w:ind w:left="360" w:hanging="360"/>
        <w:rPr>
          <w:rFonts w:ascii="Times New Roman" w:hAnsi="Times New Roman"/>
        </w:rPr>
      </w:pPr>
      <w:r>
        <w:rPr>
          <w:rFonts w:ascii="Times New Roman" w:hAnsi="Times New Roman"/>
        </w:rPr>
        <w:t xml:space="preserve">Keller, Evelyn Fox. </w:t>
      </w:r>
      <w:r>
        <w:rPr>
          <w:rFonts w:ascii="Times New Roman" w:hAnsi="Times New Roman"/>
          <w:i/>
        </w:rPr>
        <w:t>Making Sense of Life</w:t>
      </w:r>
      <w:r>
        <w:rPr>
          <w:rFonts w:ascii="Times New Roman" w:hAnsi="Times New Roman"/>
        </w:rPr>
        <w:t>. Cambridge: Harvard University Press, 2002.</w:t>
      </w:r>
    </w:p>
    <w:p w14:paraId="261BB247" w14:textId="7C9EA87E" w:rsidR="00097EC9" w:rsidRPr="00097EC9" w:rsidRDefault="00097EC9">
      <w:pPr>
        <w:pStyle w:val="Footnote"/>
        <w:ind w:left="360" w:hanging="360"/>
        <w:rPr>
          <w:rFonts w:ascii="Times New Roman" w:hAnsi="Times New Roman"/>
        </w:rPr>
      </w:pPr>
      <w:r>
        <w:rPr>
          <w:rFonts w:ascii="Times New Roman" w:hAnsi="Times New Roman"/>
        </w:rPr>
        <w:t xml:space="preserve">Kuhn, Thomas S. </w:t>
      </w:r>
      <w:r>
        <w:rPr>
          <w:rFonts w:ascii="Times New Roman" w:hAnsi="Times New Roman"/>
          <w:i/>
        </w:rPr>
        <w:t>The Structure of Scientific Revolutions</w:t>
      </w:r>
      <w:r>
        <w:rPr>
          <w:rFonts w:ascii="Times New Roman" w:hAnsi="Times New Roman"/>
        </w:rPr>
        <w:t>. Chicago: University of Chicago Press, 1962.</w:t>
      </w:r>
    </w:p>
    <w:p w14:paraId="129805EC" w14:textId="1354EF03" w:rsidR="00445A53" w:rsidRPr="00264045" w:rsidRDefault="00445A53">
      <w:pPr>
        <w:pStyle w:val="Footnote"/>
        <w:ind w:left="360" w:hanging="360"/>
      </w:pPr>
      <w:r w:rsidRPr="00264045">
        <w:rPr>
          <w:rFonts w:ascii="Times New Roman" w:hAnsi="Times New Roman"/>
        </w:rPr>
        <w:t>Lemke, Thomas</w:t>
      </w:r>
      <w:r w:rsidR="00E11834">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 xml:space="preserve">New Materialisms: Foucault and the </w:t>
      </w:r>
      <w:r w:rsidR="00E1078D">
        <w:rPr>
          <w:rFonts w:ascii="Times New Roman" w:hAnsi="Times New Roman"/>
        </w:rPr>
        <w:t>‘</w:t>
      </w:r>
      <w:r w:rsidRPr="00264045">
        <w:rPr>
          <w:rFonts w:ascii="Times New Roman" w:hAnsi="Times New Roman"/>
        </w:rPr>
        <w:t>Government of Things</w:t>
      </w:r>
      <w:r w:rsidR="00E11834">
        <w:rPr>
          <w:rFonts w:ascii="Times New Roman" w:hAnsi="Times New Roman"/>
        </w:rPr>
        <w:t>.</w:t>
      </w:r>
      <w:r w:rsidR="00E1078D">
        <w:rPr>
          <w:rFonts w:ascii="Times New Roman" w:hAnsi="Times New Roman"/>
        </w:rPr>
        <w:t>’”</w:t>
      </w:r>
      <w:r w:rsidRPr="00264045">
        <w:rPr>
          <w:rFonts w:ascii="Times New Roman" w:hAnsi="Times New Roman"/>
        </w:rPr>
        <w:t xml:space="preserve"> </w:t>
      </w:r>
      <w:r w:rsidRPr="00264045">
        <w:rPr>
          <w:rFonts w:ascii="Times New Roman" w:hAnsi="Times New Roman"/>
          <w:i/>
        </w:rPr>
        <w:t>Theory, Culture, &amp; Society</w:t>
      </w:r>
      <w:r w:rsidR="00E11834">
        <w:rPr>
          <w:rFonts w:ascii="Times New Roman" w:hAnsi="Times New Roman"/>
          <w:i/>
        </w:rPr>
        <w:t>,</w:t>
      </w:r>
      <w:r w:rsidRPr="00264045">
        <w:rPr>
          <w:rFonts w:ascii="Times New Roman" w:hAnsi="Times New Roman"/>
        </w:rPr>
        <w:t xml:space="preserve"> </w:t>
      </w:r>
      <w:r w:rsidR="00E11834">
        <w:rPr>
          <w:rFonts w:ascii="Times New Roman" w:hAnsi="Times New Roman"/>
        </w:rPr>
        <w:t xml:space="preserve">vol. </w:t>
      </w:r>
      <w:r w:rsidRPr="00264045">
        <w:rPr>
          <w:rFonts w:ascii="Times New Roman" w:hAnsi="Times New Roman"/>
        </w:rPr>
        <w:t>32</w:t>
      </w:r>
      <w:r w:rsidR="00E11834">
        <w:rPr>
          <w:rFonts w:ascii="Times New Roman" w:hAnsi="Times New Roman"/>
        </w:rPr>
        <w:t xml:space="preserve">, no. </w:t>
      </w:r>
      <w:r w:rsidRPr="00264045">
        <w:rPr>
          <w:rFonts w:ascii="Times New Roman" w:hAnsi="Times New Roman"/>
        </w:rPr>
        <w:t>4,</w:t>
      </w:r>
      <w:r w:rsidR="007464FC">
        <w:rPr>
          <w:rFonts w:ascii="Times New Roman" w:hAnsi="Times New Roman"/>
        </w:rPr>
        <w:t xml:space="preserve"> July</w:t>
      </w:r>
      <w:r w:rsidR="00E11834">
        <w:rPr>
          <w:rFonts w:ascii="Times New Roman" w:hAnsi="Times New Roman"/>
        </w:rPr>
        <w:t xml:space="preserve"> 2015,</w:t>
      </w:r>
      <w:r w:rsidRPr="00264045">
        <w:rPr>
          <w:rFonts w:ascii="Times New Roman" w:hAnsi="Times New Roman"/>
        </w:rPr>
        <w:t xml:space="preserve"> pp.</w:t>
      </w:r>
      <w:r w:rsidR="00115CDC" w:rsidRPr="00264045">
        <w:rPr>
          <w:rFonts w:ascii="Times New Roman" w:hAnsi="Times New Roman"/>
        </w:rPr>
        <w:t xml:space="preserve"> </w:t>
      </w:r>
      <w:r w:rsidRPr="00264045">
        <w:rPr>
          <w:rFonts w:ascii="Times New Roman" w:hAnsi="Times New Roman"/>
        </w:rPr>
        <w:t>3-25.</w:t>
      </w:r>
    </w:p>
    <w:p w14:paraId="6D27D82B" w14:textId="34EE7959" w:rsidR="00FE3DD3" w:rsidRPr="00264045" w:rsidRDefault="00C36F8C">
      <w:pPr>
        <w:pStyle w:val="Footnote"/>
        <w:ind w:left="360" w:hanging="360"/>
        <w:rPr>
          <w:rFonts w:ascii="Times New Roman" w:eastAsia="Times New Roman" w:hAnsi="Times New Roman" w:cs="Times New Roman"/>
        </w:rPr>
      </w:pPr>
      <w:proofErr w:type="spellStart"/>
      <w:r w:rsidRPr="00264045">
        <w:rPr>
          <w:rFonts w:ascii="Times New Roman" w:hAnsi="Times New Roman"/>
        </w:rPr>
        <w:t>Lezra</w:t>
      </w:r>
      <w:proofErr w:type="spellEnd"/>
      <w:r w:rsidRPr="00264045">
        <w:rPr>
          <w:rFonts w:ascii="Times New Roman" w:hAnsi="Times New Roman"/>
        </w:rPr>
        <w:t>, Jacques</w:t>
      </w:r>
      <w:r w:rsidR="00E11834">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Uncountable Matter</w:t>
      </w:r>
      <w:r w:rsidR="00E11834">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iCs/>
        </w:rPr>
        <w:t>Oxford Literary Review</w:t>
      </w:r>
      <w:r w:rsidR="00E11834">
        <w:rPr>
          <w:rFonts w:ascii="Times New Roman" w:hAnsi="Times New Roman"/>
          <w:i/>
          <w:iCs/>
        </w:rPr>
        <w:t>,</w:t>
      </w:r>
      <w:r w:rsidRPr="00264045">
        <w:rPr>
          <w:rFonts w:ascii="Times New Roman" w:hAnsi="Times New Roman"/>
        </w:rPr>
        <w:t xml:space="preserve"> </w:t>
      </w:r>
      <w:r w:rsidR="00E11834">
        <w:rPr>
          <w:rFonts w:ascii="Times New Roman" w:hAnsi="Times New Roman"/>
        </w:rPr>
        <w:t xml:space="preserve">vol. </w:t>
      </w:r>
      <w:r w:rsidRPr="00264045">
        <w:rPr>
          <w:rFonts w:ascii="Times New Roman" w:hAnsi="Times New Roman"/>
        </w:rPr>
        <w:t>39</w:t>
      </w:r>
      <w:r w:rsidR="00E11834">
        <w:rPr>
          <w:rFonts w:ascii="Times New Roman" w:hAnsi="Times New Roman"/>
        </w:rPr>
        <w:t>, no.</w:t>
      </w:r>
      <w:r w:rsidRPr="00264045">
        <w:rPr>
          <w:rFonts w:ascii="Times New Roman" w:hAnsi="Times New Roman"/>
        </w:rPr>
        <w:t xml:space="preserve">1, </w:t>
      </w:r>
      <w:r w:rsidR="00E11834">
        <w:rPr>
          <w:rFonts w:ascii="Times New Roman" w:hAnsi="Times New Roman"/>
        </w:rPr>
        <w:t xml:space="preserve">2017, </w:t>
      </w:r>
      <w:r w:rsidRPr="00264045">
        <w:rPr>
          <w:rFonts w:ascii="Times New Roman" w:hAnsi="Times New Roman"/>
        </w:rPr>
        <w:t>pp. 17-41.</w:t>
      </w:r>
    </w:p>
    <w:p w14:paraId="2C9CD49F" w14:textId="224ED210" w:rsidR="00FE3DD3" w:rsidRDefault="00C36F8C">
      <w:pPr>
        <w:pStyle w:val="Footnote"/>
        <w:ind w:left="360" w:hanging="360"/>
        <w:rPr>
          <w:rFonts w:ascii="Times New Roman" w:hAnsi="Times New Roman"/>
        </w:rPr>
      </w:pPr>
      <w:r w:rsidRPr="00264045">
        <w:rPr>
          <w:rFonts w:ascii="Times New Roman" w:hAnsi="Times New Roman"/>
        </w:rPr>
        <w:t>Meillassoux, Quentin</w:t>
      </w:r>
      <w:r w:rsidR="00E11834">
        <w:rPr>
          <w:rFonts w:ascii="Times New Roman" w:hAnsi="Times New Roman"/>
        </w:rPr>
        <w:t>.</w:t>
      </w:r>
      <w:r w:rsidRPr="00264045">
        <w:rPr>
          <w:rFonts w:ascii="Times New Roman" w:hAnsi="Times New Roman"/>
        </w:rPr>
        <w:t xml:space="preserve"> </w:t>
      </w:r>
      <w:r w:rsidRPr="00264045">
        <w:rPr>
          <w:rFonts w:ascii="Times New Roman" w:hAnsi="Times New Roman"/>
          <w:i/>
          <w:iCs/>
        </w:rPr>
        <w:t>After Finitude: An Essay on the Necessity of Contingency</w:t>
      </w:r>
      <w:r w:rsidR="001846E6">
        <w:rPr>
          <w:rFonts w:ascii="Times New Roman" w:hAnsi="Times New Roman"/>
          <w:i/>
          <w:iCs/>
        </w:rPr>
        <w:t>,</w:t>
      </w:r>
      <w:r w:rsidR="00E11834">
        <w:rPr>
          <w:rFonts w:ascii="Times New Roman" w:hAnsi="Times New Roman"/>
        </w:rPr>
        <w:t xml:space="preserve"> </w:t>
      </w:r>
      <w:r w:rsidR="001846E6">
        <w:rPr>
          <w:rFonts w:ascii="Times New Roman" w:hAnsi="Times New Roman"/>
        </w:rPr>
        <w:t>t</w:t>
      </w:r>
      <w:r w:rsidRPr="00264045">
        <w:rPr>
          <w:rFonts w:ascii="Times New Roman" w:hAnsi="Times New Roman"/>
        </w:rPr>
        <w:t>rans</w:t>
      </w:r>
      <w:r w:rsidR="001846E6">
        <w:rPr>
          <w:rFonts w:ascii="Times New Roman" w:hAnsi="Times New Roman"/>
        </w:rPr>
        <w:t>lated by</w:t>
      </w:r>
      <w:r w:rsidRPr="00264045">
        <w:rPr>
          <w:rFonts w:ascii="Times New Roman" w:hAnsi="Times New Roman"/>
        </w:rPr>
        <w:t xml:space="preserve"> Ray Brassier. London: Continuum</w:t>
      </w:r>
      <w:r w:rsidR="00E11834">
        <w:rPr>
          <w:rFonts w:ascii="Times New Roman" w:hAnsi="Times New Roman"/>
        </w:rPr>
        <w:t>, 2008</w:t>
      </w:r>
      <w:r w:rsidRPr="00264045">
        <w:rPr>
          <w:rFonts w:ascii="Times New Roman" w:hAnsi="Times New Roman"/>
        </w:rPr>
        <w:t>.</w:t>
      </w:r>
    </w:p>
    <w:p w14:paraId="44DD7AD1" w14:textId="3D519C20" w:rsidR="005A023F" w:rsidRPr="005A023F" w:rsidRDefault="005A023F" w:rsidP="005A023F">
      <w:pPr>
        <w:pStyle w:val="EndnoteText"/>
        <w:ind w:left="720" w:hanging="720"/>
        <w:rPr>
          <w:sz w:val="22"/>
          <w:szCs w:val="22"/>
        </w:rPr>
      </w:pPr>
      <w:r>
        <w:rPr>
          <w:sz w:val="22"/>
          <w:szCs w:val="22"/>
        </w:rPr>
        <w:t>Mercier, Thomas Clement. “</w:t>
      </w:r>
      <w:r w:rsidRPr="00E2312A">
        <w:rPr>
          <w:sz w:val="22"/>
          <w:szCs w:val="22"/>
        </w:rPr>
        <w:t>Resisting the Present: Biopower in the Face of the Event</w:t>
      </w:r>
      <w:r>
        <w:rPr>
          <w:sz w:val="22"/>
          <w:szCs w:val="22"/>
        </w:rPr>
        <w:t xml:space="preserve"> </w:t>
      </w:r>
      <w:r w:rsidRPr="00E2312A">
        <w:rPr>
          <w:sz w:val="22"/>
          <w:szCs w:val="22"/>
        </w:rPr>
        <w:t>(Some Notes on Monstrous Lives)</w:t>
      </w:r>
      <w:r>
        <w:rPr>
          <w:sz w:val="22"/>
          <w:szCs w:val="22"/>
        </w:rPr>
        <w:t xml:space="preserve">.” </w:t>
      </w:r>
      <w:r w:rsidRPr="00E2312A">
        <w:rPr>
          <w:i/>
          <w:iCs/>
          <w:sz w:val="22"/>
          <w:szCs w:val="22"/>
        </w:rPr>
        <w:t>CR: The New Centennial Review</w:t>
      </w:r>
      <w:r>
        <w:rPr>
          <w:sz w:val="22"/>
          <w:szCs w:val="22"/>
        </w:rPr>
        <w:t>, forthcoming.</w:t>
      </w:r>
    </w:p>
    <w:p w14:paraId="179599ED" w14:textId="0850BE34" w:rsidR="00FE3DD3" w:rsidRDefault="00C36F8C">
      <w:pPr>
        <w:pStyle w:val="Footnote"/>
        <w:ind w:left="360" w:hanging="360"/>
        <w:rPr>
          <w:rFonts w:ascii="Times New Roman" w:hAnsi="Times New Roman"/>
        </w:rPr>
      </w:pPr>
      <w:r w:rsidRPr="00264045">
        <w:rPr>
          <w:rFonts w:ascii="Times New Roman" w:hAnsi="Times New Roman"/>
        </w:rPr>
        <w:t xml:space="preserve">Prigogine, Ilya, and Isabelle </w:t>
      </w:r>
      <w:proofErr w:type="spellStart"/>
      <w:r w:rsidRPr="00264045">
        <w:rPr>
          <w:rFonts w:ascii="Times New Roman" w:hAnsi="Times New Roman"/>
        </w:rPr>
        <w:t>Stengers</w:t>
      </w:r>
      <w:proofErr w:type="spellEnd"/>
      <w:r w:rsidR="00E11834">
        <w:rPr>
          <w:rFonts w:ascii="Times New Roman" w:hAnsi="Times New Roman"/>
        </w:rPr>
        <w:t>.</w:t>
      </w:r>
      <w:r w:rsidRPr="00264045">
        <w:rPr>
          <w:rFonts w:ascii="Times New Roman" w:hAnsi="Times New Roman"/>
        </w:rPr>
        <w:t xml:space="preserve"> </w:t>
      </w:r>
      <w:r w:rsidRPr="00264045">
        <w:rPr>
          <w:rFonts w:ascii="Times New Roman" w:hAnsi="Times New Roman"/>
          <w:i/>
          <w:iCs/>
        </w:rPr>
        <w:t>Order out of Chaos: Man's New Dialogue with Nature</w:t>
      </w:r>
      <w:r w:rsidRPr="00264045">
        <w:rPr>
          <w:rFonts w:ascii="Times New Roman" w:hAnsi="Times New Roman"/>
          <w:lang w:val="pt-PT"/>
        </w:rPr>
        <w:t xml:space="preserve">. Toronto: </w:t>
      </w:r>
      <w:proofErr w:type="spellStart"/>
      <w:r w:rsidRPr="00264045">
        <w:rPr>
          <w:rFonts w:ascii="Times New Roman" w:hAnsi="Times New Roman"/>
          <w:lang w:val="pt-PT"/>
        </w:rPr>
        <w:t>Bantam</w:t>
      </w:r>
      <w:proofErr w:type="spellEnd"/>
      <w:r w:rsidRPr="00264045">
        <w:rPr>
          <w:rFonts w:ascii="Times New Roman" w:hAnsi="Times New Roman"/>
          <w:lang w:val="pt-PT"/>
        </w:rPr>
        <w:t xml:space="preserve"> </w:t>
      </w:r>
      <w:proofErr w:type="spellStart"/>
      <w:r w:rsidRPr="00264045">
        <w:rPr>
          <w:rFonts w:ascii="Times New Roman" w:hAnsi="Times New Roman"/>
          <w:lang w:val="pt-PT"/>
        </w:rPr>
        <w:t>Books</w:t>
      </w:r>
      <w:proofErr w:type="spellEnd"/>
      <w:r w:rsidR="00E11834">
        <w:rPr>
          <w:rFonts w:ascii="Times New Roman" w:hAnsi="Times New Roman"/>
          <w:lang w:val="pt-PT"/>
        </w:rPr>
        <w:t>, 1984</w:t>
      </w:r>
      <w:r w:rsidRPr="00264045">
        <w:rPr>
          <w:rFonts w:ascii="Times New Roman" w:hAnsi="Times New Roman"/>
        </w:rPr>
        <w:t>.</w:t>
      </w:r>
    </w:p>
    <w:p w14:paraId="613EDB7C" w14:textId="228E8C61" w:rsidR="002032B8" w:rsidRPr="00264045" w:rsidRDefault="002032B8">
      <w:pPr>
        <w:pStyle w:val="Footnote"/>
        <w:ind w:left="360" w:hanging="360"/>
        <w:rPr>
          <w:rFonts w:ascii="Times New Roman" w:eastAsia="Times New Roman" w:hAnsi="Times New Roman" w:cs="Times New Roman"/>
        </w:rPr>
      </w:pPr>
      <w:r w:rsidRPr="002032B8">
        <w:rPr>
          <w:rFonts w:ascii="Times New Roman" w:eastAsia="Times New Roman" w:hAnsi="Times New Roman" w:cs="Times New Roman"/>
        </w:rPr>
        <w:t>Spinoza,</w:t>
      </w:r>
      <w:r>
        <w:rPr>
          <w:rFonts w:ascii="Times New Roman" w:eastAsia="Times New Roman" w:hAnsi="Times New Roman" w:cs="Times New Roman"/>
        </w:rPr>
        <w:t xml:space="preserve"> </w:t>
      </w:r>
      <w:r w:rsidRPr="002032B8">
        <w:rPr>
          <w:rFonts w:ascii="Times New Roman" w:eastAsia="Times New Roman" w:hAnsi="Times New Roman" w:cs="Times New Roman"/>
        </w:rPr>
        <w:t>Baruch</w:t>
      </w:r>
      <w:r w:rsidR="00E11834">
        <w:rPr>
          <w:rFonts w:ascii="Times New Roman" w:eastAsia="Times New Roman" w:hAnsi="Times New Roman" w:cs="Times New Roman"/>
        </w:rPr>
        <w:t>.</w:t>
      </w:r>
      <w:r w:rsidRPr="002032B8">
        <w:rPr>
          <w:rFonts w:ascii="Times New Roman" w:eastAsia="Times New Roman" w:hAnsi="Times New Roman" w:cs="Times New Roman"/>
        </w:rPr>
        <w:t xml:space="preserve"> “Letter 58</w:t>
      </w:r>
      <w:r w:rsidR="009455BC">
        <w:rPr>
          <w:rFonts w:ascii="Times New Roman" w:eastAsia="Times New Roman" w:hAnsi="Times New Roman" w:cs="Times New Roman"/>
        </w:rPr>
        <w:t>.</w:t>
      </w:r>
      <w:r w:rsidRPr="002032B8">
        <w:rPr>
          <w:rFonts w:ascii="Times New Roman" w:eastAsia="Times New Roman" w:hAnsi="Times New Roman" w:cs="Times New Roman"/>
        </w:rPr>
        <w:t xml:space="preserve">” </w:t>
      </w:r>
      <w:r w:rsidRPr="006A3203">
        <w:rPr>
          <w:rFonts w:ascii="Times New Roman" w:eastAsia="Times New Roman" w:hAnsi="Times New Roman" w:cs="Times New Roman"/>
          <w:i/>
        </w:rPr>
        <w:t>Complete Works</w:t>
      </w:r>
      <w:r w:rsidR="001846E6">
        <w:rPr>
          <w:rFonts w:ascii="Times New Roman" w:eastAsia="Times New Roman" w:hAnsi="Times New Roman" w:cs="Times New Roman"/>
        </w:rPr>
        <w:t>,</w:t>
      </w:r>
      <w:r w:rsidRPr="002032B8">
        <w:rPr>
          <w:rFonts w:ascii="Times New Roman" w:eastAsia="Times New Roman" w:hAnsi="Times New Roman" w:cs="Times New Roman"/>
        </w:rPr>
        <w:t xml:space="preserve"> </w:t>
      </w:r>
      <w:r w:rsidR="009455BC">
        <w:rPr>
          <w:rFonts w:ascii="Times New Roman" w:eastAsia="Times New Roman" w:hAnsi="Times New Roman" w:cs="Times New Roman"/>
        </w:rPr>
        <w:t>t</w:t>
      </w:r>
      <w:r w:rsidR="009455BC" w:rsidRPr="002032B8">
        <w:rPr>
          <w:rFonts w:ascii="Times New Roman" w:eastAsia="Times New Roman" w:hAnsi="Times New Roman" w:cs="Times New Roman"/>
        </w:rPr>
        <w:t>rans</w:t>
      </w:r>
      <w:r w:rsidR="009455BC">
        <w:rPr>
          <w:rFonts w:ascii="Times New Roman" w:eastAsia="Times New Roman" w:hAnsi="Times New Roman" w:cs="Times New Roman"/>
        </w:rPr>
        <w:t>lated by</w:t>
      </w:r>
      <w:r w:rsidR="009455BC" w:rsidRPr="002032B8">
        <w:rPr>
          <w:rFonts w:ascii="Times New Roman" w:eastAsia="Times New Roman" w:hAnsi="Times New Roman" w:cs="Times New Roman"/>
        </w:rPr>
        <w:t xml:space="preserve"> Samuel Shirley</w:t>
      </w:r>
      <w:r w:rsidR="009455BC">
        <w:rPr>
          <w:rFonts w:ascii="Times New Roman" w:eastAsia="Times New Roman" w:hAnsi="Times New Roman" w:cs="Times New Roman"/>
        </w:rPr>
        <w:t xml:space="preserve">, </w:t>
      </w:r>
      <w:r w:rsidR="001846E6">
        <w:rPr>
          <w:rFonts w:ascii="Times New Roman" w:eastAsia="Times New Roman" w:hAnsi="Times New Roman" w:cs="Times New Roman"/>
        </w:rPr>
        <w:t>e</w:t>
      </w:r>
      <w:r w:rsidRPr="002032B8">
        <w:rPr>
          <w:rFonts w:ascii="Times New Roman" w:eastAsia="Times New Roman" w:hAnsi="Times New Roman" w:cs="Times New Roman"/>
        </w:rPr>
        <w:t>d</w:t>
      </w:r>
      <w:r w:rsidR="001846E6">
        <w:rPr>
          <w:rFonts w:ascii="Times New Roman" w:eastAsia="Times New Roman" w:hAnsi="Times New Roman" w:cs="Times New Roman"/>
        </w:rPr>
        <w:t>ited by</w:t>
      </w:r>
      <w:r w:rsidRPr="002032B8">
        <w:rPr>
          <w:rFonts w:ascii="Times New Roman" w:eastAsia="Times New Roman" w:hAnsi="Times New Roman" w:cs="Times New Roman"/>
        </w:rPr>
        <w:t xml:space="preserve"> Michael Morgan</w:t>
      </w:r>
      <w:r w:rsidR="00E11834">
        <w:rPr>
          <w:rFonts w:ascii="Times New Roman" w:eastAsia="Times New Roman" w:hAnsi="Times New Roman" w:cs="Times New Roman"/>
        </w:rPr>
        <w:t>.</w:t>
      </w:r>
      <w:r w:rsidRPr="002032B8">
        <w:rPr>
          <w:rFonts w:ascii="Times New Roman" w:eastAsia="Times New Roman" w:hAnsi="Times New Roman" w:cs="Times New Roman"/>
        </w:rPr>
        <w:t xml:space="preserve"> Indianapolis: Hackett, 2002</w:t>
      </w:r>
      <w:r w:rsidR="006A3203">
        <w:rPr>
          <w:rFonts w:ascii="Times New Roman" w:eastAsia="Times New Roman" w:hAnsi="Times New Roman" w:cs="Times New Roman"/>
        </w:rPr>
        <w:t>.</w:t>
      </w:r>
    </w:p>
    <w:p w14:paraId="4376FB57" w14:textId="36A8A623" w:rsidR="00FE3DD3" w:rsidRDefault="00C36F8C">
      <w:pPr>
        <w:pStyle w:val="Footnote"/>
        <w:ind w:left="360" w:hanging="360"/>
        <w:rPr>
          <w:rFonts w:ascii="Times New Roman" w:hAnsi="Times New Roman"/>
        </w:rPr>
      </w:pPr>
      <w:r w:rsidRPr="00264045">
        <w:rPr>
          <w:rFonts w:ascii="Times New Roman" w:hAnsi="Times New Roman"/>
        </w:rPr>
        <w:t>Vitale, Francesco</w:t>
      </w:r>
      <w:r w:rsidR="002331D9">
        <w:rPr>
          <w:rFonts w:ascii="Times New Roman" w:hAnsi="Times New Roman"/>
        </w:rPr>
        <w:t>.</w:t>
      </w:r>
      <w:r w:rsidRPr="00264045">
        <w:rPr>
          <w:rFonts w:ascii="Times New Roman" w:hAnsi="Times New Roman"/>
        </w:rPr>
        <w:t xml:space="preserve"> </w:t>
      </w:r>
      <w:r w:rsidR="007B419C">
        <w:rPr>
          <w:rFonts w:ascii="Times New Roman" w:hAnsi="Times New Roman"/>
        </w:rPr>
        <w:t>“</w:t>
      </w:r>
      <w:r w:rsidR="002331D9">
        <w:rPr>
          <w:rFonts w:ascii="Times New Roman" w:hAnsi="Times New Roman"/>
        </w:rPr>
        <w:t>‘</w:t>
      </w:r>
      <w:r w:rsidRPr="00264045">
        <w:rPr>
          <w:rFonts w:ascii="Times New Roman" w:hAnsi="Times New Roman"/>
        </w:rPr>
        <w:t>With or Without You…</w:t>
      </w:r>
      <w:r w:rsidR="002331D9">
        <w:rPr>
          <w:rFonts w:ascii="Times New Roman" w:hAnsi="Times New Roman"/>
        </w:rPr>
        <w:t>’</w:t>
      </w:r>
      <w:r w:rsidRPr="00264045">
        <w:rPr>
          <w:rFonts w:ascii="Times New Roman" w:hAnsi="Times New Roman"/>
        </w:rPr>
        <w:t>: Deconstructing Teleology between Philosophy and Biology</w:t>
      </w:r>
      <w:r w:rsidR="002331D9">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iCs/>
        </w:rPr>
        <w:t>Oxford Literary Review</w:t>
      </w:r>
      <w:r w:rsidR="002331D9">
        <w:rPr>
          <w:rFonts w:ascii="Times New Roman" w:hAnsi="Times New Roman"/>
          <w:i/>
          <w:iCs/>
        </w:rPr>
        <w:t>,</w:t>
      </w:r>
      <w:r w:rsidRPr="00264045">
        <w:rPr>
          <w:rFonts w:ascii="Times New Roman" w:hAnsi="Times New Roman"/>
        </w:rPr>
        <w:t xml:space="preserve"> </w:t>
      </w:r>
      <w:r w:rsidR="002331D9">
        <w:rPr>
          <w:rFonts w:ascii="Times New Roman" w:hAnsi="Times New Roman"/>
        </w:rPr>
        <w:t xml:space="preserve">vol. </w:t>
      </w:r>
      <w:r w:rsidRPr="00264045">
        <w:rPr>
          <w:rFonts w:ascii="Times New Roman" w:hAnsi="Times New Roman"/>
        </w:rPr>
        <w:t>39</w:t>
      </w:r>
      <w:r w:rsidR="002331D9">
        <w:rPr>
          <w:rFonts w:ascii="Times New Roman" w:hAnsi="Times New Roman"/>
        </w:rPr>
        <w:t xml:space="preserve">, no. </w:t>
      </w:r>
      <w:r w:rsidRPr="00264045">
        <w:rPr>
          <w:rFonts w:ascii="Times New Roman" w:hAnsi="Times New Roman"/>
        </w:rPr>
        <w:t>1,</w:t>
      </w:r>
      <w:r w:rsidR="002331D9">
        <w:rPr>
          <w:rFonts w:ascii="Times New Roman" w:hAnsi="Times New Roman"/>
        </w:rPr>
        <w:t xml:space="preserve"> </w:t>
      </w:r>
      <w:r w:rsidR="00C266BB">
        <w:rPr>
          <w:rFonts w:ascii="Times New Roman" w:hAnsi="Times New Roman"/>
        </w:rPr>
        <w:t xml:space="preserve">June </w:t>
      </w:r>
      <w:r w:rsidR="002331D9">
        <w:rPr>
          <w:rFonts w:ascii="Times New Roman" w:hAnsi="Times New Roman"/>
        </w:rPr>
        <w:t>2017,</w:t>
      </w:r>
      <w:r w:rsidRPr="00264045">
        <w:rPr>
          <w:rFonts w:ascii="Times New Roman" w:hAnsi="Times New Roman"/>
        </w:rPr>
        <w:t xml:space="preserve"> pp. 82-100.</w:t>
      </w:r>
    </w:p>
    <w:p w14:paraId="46950389" w14:textId="4EA6B03F" w:rsidR="00B32610" w:rsidRPr="00B32610" w:rsidRDefault="00B32610">
      <w:pPr>
        <w:pStyle w:val="Footnote"/>
        <w:ind w:left="360" w:hanging="360"/>
        <w:rPr>
          <w:rFonts w:ascii="Times New Roman" w:hAnsi="Times New Roman"/>
        </w:rPr>
      </w:pPr>
      <w:r>
        <w:rPr>
          <w:rFonts w:ascii="Times New Roman" w:hAnsi="Times New Roman"/>
        </w:rPr>
        <w:t xml:space="preserve">Wahl, Jean. </w:t>
      </w:r>
      <w:r>
        <w:rPr>
          <w:rFonts w:ascii="Times New Roman" w:hAnsi="Times New Roman"/>
          <w:i/>
        </w:rPr>
        <w:t xml:space="preserve">Tableau de la </w:t>
      </w:r>
      <w:proofErr w:type="spellStart"/>
      <w:r>
        <w:rPr>
          <w:rFonts w:ascii="Times New Roman" w:hAnsi="Times New Roman"/>
          <w:i/>
        </w:rPr>
        <w:t>philosophie</w:t>
      </w:r>
      <w:proofErr w:type="spellEnd"/>
      <w:r>
        <w:rPr>
          <w:rFonts w:ascii="Times New Roman" w:hAnsi="Times New Roman"/>
          <w:i/>
        </w:rPr>
        <w:t xml:space="preserve"> </w:t>
      </w:r>
      <w:proofErr w:type="spellStart"/>
      <w:r>
        <w:rPr>
          <w:rFonts w:ascii="Times New Roman" w:hAnsi="Times New Roman"/>
          <w:i/>
        </w:rPr>
        <w:t>française</w:t>
      </w:r>
      <w:proofErr w:type="spellEnd"/>
      <w:r>
        <w:rPr>
          <w:rFonts w:ascii="Times New Roman" w:hAnsi="Times New Roman"/>
        </w:rPr>
        <w:t xml:space="preserve">. </w:t>
      </w:r>
      <w:proofErr w:type="spellStart"/>
      <w:r w:rsidR="002331D9">
        <w:rPr>
          <w:rFonts w:ascii="Times New Roman" w:hAnsi="Times New Roman"/>
        </w:rPr>
        <w:t>N</w:t>
      </w:r>
      <w:r>
        <w:rPr>
          <w:rFonts w:ascii="Times New Roman" w:hAnsi="Times New Roman"/>
        </w:rPr>
        <w:t>.p.</w:t>
      </w:r>
      <w:proofErr w:type="spellEnd"/>
      <w:r>
        <w:rPr>
          <w:rFonts w:ascii="Times New Roman" w:hAnsi="Times New Roman"/>
        </w:rPr>
        <w:t>: Gallimard, 1962.</w:t>
      </w:r>
    </w:p>
    <w:p w14:paraId="5DB56AD2" w14:textId="2A8DC22C" w:rsidR="00D26513" w:rsidRPr="00264045" w:rsidRDefault="00AD4494">
      <w:pPr>
        <w:pStyle w:val="Footnote"/>
        <w:ind w:left="360" w:hanging="360"/>
        <w:rPr>
          <w:rFonts w:ascii="Times New Roman" w:eastAsia="Times New Roman" w:hAnsi="Times New Roman" w:cs="Times New Roman"/>
        </w:rPr>
      </w:pPr>
      <w:proofErr w:type="spellStart"/>
      <w:r w:rsidRPr="00264045">
        <w:rPr>
          <w:rFonts w:ascii="Times New Roman" w:hAnsi="Times New Roman"/>
        </w:rPr>
        <w:t>Washick</w:t>
      </w:r>
      <w:proofErr w:type="spellEnd"/>
      <w:r w:rsidRPr="00264045">
        <w:rPr>
          <w:rFonts w:ascii="Times New Roman" w:hAnsi="Times New Roman"/>
        </w:rPr>
        <w:t xml:space="preserve">, Bonnie and </w:t>
      </w:r>
      <w:r w:rsidR="0069226C" w:rsidRPr="00264045">
        <w:rPr>
          <w:rFonts w:ascii="Times New Roman" w:hAnsi="Times New Roman"/>
        </w:rPr>
        <w:t xml:space="preserve">Elizabeth </w:t>
      </w:r>
      <w:proofErr w:type="spellStart"/>
      <w:r w:rsidRPr="00264045">
        <w:rPr>
          <w:rFonts w:ascii="Times New Roman" w:hAnsi="Times New Roman"/>
        </w:rPr>
        <w:t>Wingrove</w:t>
      </w:r>
      <w:proofErr w:type="spellEnd"/>
      <w:r w:rsidR="0069226C">
        <w:rPr>
          <w:rFonts w:ascii="Times New Roman" w:hAnsi="Times New Roman"/>
        </w:rPr>
        <w:t>.</w:t>
      </w:r>
      <w:r w:rsidRPr="00264045">
        <w:rPr>
          <w:rFonts w:ascii="Times New Roman" w:hAnsi="Times New Roman"/>
        </w:rPr>
        <w:t xml:space="preserve"> </w:t>
      </w:r>
      <w:r w:rsidR="007B419C">
        <w:rPr>
          <w:rFonts w:ascii="Times New Roman" w:hAnsi="Times New Roman"/>
        </w:rPr>
        <w:t>“</w:t>
      </w:r>
      <w:r w:rsidRPr="00264045">
        <w:rPr>
          <w:rFonts w:ascii="Times New Roman" w:hAnsi="Times New Roman"/>
        </w:rPr>
        <w:t>Politics that matter: Thinking about power and justice with the new materialists</w:t>
      </w:r>
      <w:r w:rsidR="0069226C">
        <w:rPr>
          <w:rFonts w:ascii="Times New Roman" w:hAnsi="Times New Roman"/>
        </w:rPr>
        <w:t>.</w:t>
      </w:r>
      <w:r w:rsidR="007B419C">
        <w:rPr>
          <w:rFonts w:ascii="Times New Roman" w:hAnsi="Times New Roman"/>
        </w:rPr>
        <w:t>”</w:t>
      </w:r>
      <w:r w:rsidRPr="00264045">
        <w:rPr>
          <w:rFonts w:ascii="Times New Roman" w:hAnsi="Times New Roman"/>
        </w:rPr>
        <w:t xml:space="preserve"> </w:t>
      </w:r>
      <w:r w:rsidRPr="00264045">
        <w:rPr>
          <w:rFonts w:ascii="Times New Roman" w:hAnsi="Times New Roman"/>
          <w:i/>
        </w:rPr>
        <w:t>Contemporary Political Theory</w:t>
      </w:r>
      <w:r w:rsidR="0069226C">
        <w:rPr>
          <w:rFonts w:ascii="Times New Roman" w:hAnsi="Times New Roman"/>
          <w:i/>
        </w:rPr>
        <w:t>,</w:t>
      </w:r>
      <w:r w:rsidRPr="00264045">
        <w:rPr>
          <w:rFonts w:ascii="Times New Roman" w:hAnsi="Times New Roman"/>
        </w:rPr>
        <w:t xml:space="preserve"> </w:t>
      </w:r>
      <w:r w:rsidR="0069226C">
        <w:rPr>
          <w:rFonts w:ascii="Times New Roman" w:hAnsi="Times New Roman"/>
        </w:rPr>
        <w:t xml:space="preserve">vol. </w:t>
      </w:r>
      <w:r w:rsidRPr="00264045">
        <w:rPr>
          <w:rFonts w:ascii="Times New Roman" w:hAnsi="Times New Roman"/>
        </w:rPr>
        <w:t>14</w:t>
      </w:r>
      <w:r w:rsidR="0069226C">
        <w:rPr>
          <w:rFonts w:ascii="Times New Roman" w:hAnsi="Times New Roman"/>
        </w:rPr>
        <w:t xml:space="preserve">, no. </w:t>
      </w:r>
      <w:r w:rsidRPr="00264045">
        <w:rPr>
          <w:rFonts w:ascii="Times New Roman" w:hAnsi="Times New Roman"/>
        </w:rPr>
        <w:t>1,</w:t>
      </w:r>
      <w:r w:rsidR="0069226C">
        <w:rPr>
          <w:rFonts w:ascii="Times New Roman" w:hAnsi="Times New Roman"/>
        </w:rPr>
        <w:t xml:space="preserve"> </w:t>
      </w:r>
      <w:r w:rsidR="0069226C" w:rsidRPr="00264045">
        <w:rPr>
          <w:rFonts w:ascii="Times New Roman" w:hAnsi="Times New Roman"/>
        </w:rPr>
        <w:t>201</w:t>
      </w:r>
      <w:r w:rsidR="0069226C">
        <w:rPr>
          <w:rFonts w:ascii="Times New Roman" w:hAnsi="Times New Roman"/>
        </w:rPr>
        <w:t>5,</w:t>
      </w:r>
      <w:r w:rsidRPr="00264045">
        <w:rPr>
          <w:rFonts w:ascii="Times New Roman" w:hAnsi="Times New Roman"/>
        </w:rPr>
        <w:t xml:space="preserve"> pp. 63-79.</w:t>
      </w:r>
    </w:p>
    <w:p w14:paraId="13CFE225" w14:textId="77777777" w:rsidR="00FE3DD3" w:rsidRDefault="00FE3DD3">
      <w:pPr>
        <w:pStyle w:val="Footnote"/>
        <w:ind w:left="360" w:hanging="360"/>
      </w:pPr>
    </w:p>
    <w:sectPr w:rsidR="00FE3DD3">
      <w:headerReference w:type="default" r:id="rId8"/>
      <w:footerReference w:type="default" r:id="rId9"/>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AC16" w14:textId="77777777" w:rsidR="00BB051B" w:rsidRDefault="00BB051B">
      <w:r>
        <w:separator/>
      </w:r>
    </w:p>
  </w:endnote>
  <w:endnote w:type="continuationSeparator" w:id="0">
    <w:p w14:paraId="3EFD0109" w14:textId="77777777" w:rsidR="00BB051B" w:rsidRDefault="00BB051B">
      <w:r>
        <w:continuationSeparator/>
      </w:r>
    </w:p>
  </w:endnote>
  <w:endnote w:type="continuationNotice" w:id="1">
    <w:p w14:paraId="06F7F8D1" w14:textId="77777777" w:rsidR="00BB051B" w:rsidRDefault="00BB051B"/>
  </w:endnote>
  <w:endnote w:id="2">
    <w:p w14:paraId="0469B869" w14:textId="6050BFDB" w:rsidR="00292878" w:rsidRDefault="00292878" w:rsidP="00292878">
      <w:pPr>
        <w:pStyle w:val="Footnote"/>
        <w:rPr>
          <w:rFonts w:ascii="Times New Roman" w:hAnsi="Times New Roman"/>
        </w:rPr>
      </w:pPr>
      <w:r>
        <w:rPr>
          <w:rStyle w:val="EndnoteReference"/>
        </w:rPr>
        <w:endnoteRef/>
      </w:r>
      <w:r>
        <w:t xml:space="preserve"> </w:t>
      </w:r>
      <w:r>
        <w:rPr>
          <w:rFonts w:ascii="Times New Roman" w:hAnsi="Times New Roman"/>
        </w:rPr>
        <w:t xml:space="preserve">Many of my conclusions </w:t>
      </w:r>
      <w:r w:rsidR="00D770F5">
        <w:rPr>
          <w:rFonts w:ascii="Times New Roman" w:hAnsi="Times New Roman"/>
        </w:rPr>
        <w:t xml:space="preserve">regarding New Materialism and its corralationist form </w:t>
      </w:r>
      <w:r>
        <w:rPr>
          <w:rFonts w:ascii="Times New Roman" w:hAnsi="Times New Roman"/>
        </w:rPr>
        <w:t xml:space="preserve">will echo Sara Ahmed’s in “Open Forum Imaginary Prohibitions.” She identifies in feminist New Materialist work the dismissal of past scholarship to prop up a new field and the absence of engagement with both the materialist philosophy supposedly championed and the feminist, </w:t>
      </w:r>
      <w:r w:rsidR="000D1F13">
        <w:rPr>
          <w:rFonts w:ascii="Times New Roman" w:hAnsi="Times New Roman"/>
        </w:rPr>
        <w:t>“</w:t>
      </w:r>
      <w:r>
        <w:rPr>
          <w:rFonts w:ascii="Times New Roman" w:hAnsi="Times New Roman"/>
        </w:rPr>
        <w:t>anti-biologist</w:t>
      </w:r>
      <w:r w:rsidR="000D1F13">
        <w:rPr>
          <w:rFonts w:ascii="Times New Roman" w:hAnsi="Times New Roman"/>
        </w:rPr>
        <w:t>”</w:t>
      </w:r>
      <w:r>
        <w:rPr>
          <w:rFonts w:ascii="Times New Roman" w:hAnsi="Times New Roman"/>
        </w:rPr>
        <w:t xml:space="preserve"> scholarship supposedly critiqued. She also expresses skepticism about the value placed on novelty.</w:t>
      </w:r>
    </w:p>
    <w:p w14:paraId="154421B7" w14:textId="341325BB" w:rsidR="001846E6" w:rsidRPr="0057218C" w:rsidRDefault="001846E6" w:rsidP="00292878">
      <w:pPr>
        <w:pStyle w:val="Footnote"/>
        <w:rPr>
          <w:rFonts w:ascii="Times New Roman" w:hAnsi="Times New Roman" w:cs="Times New Roman"/>
        </w:rPr>
      </w:pPr>
      <w:r w:rsidRPr="0057218C">
        <w:rPr>
          <w:rFonts w:ascii="Times New Roman" w:hAnsi="Times New Roman" w:cs="Times New Roman"/>
        </w:rPr>
        <w:tab/>
      </w:r>
      <w:r w:rsidR="0057218C" w:rsidRPr="0057218C">
        <w:rPr>
          <w:rFonts w:ascii="Times New Roman" w:hAnsi="Times New Roman" w:cs="Times New Roman"/>
        </w:rPr>
        <w:t>Noela Davis,</w:t>
      </w:r>
      <w:r w:rsidR="0057218C">
        <w:rPr>
          <w:rFonts w:ascii="Times New Roman" w:hAnsi="Times New Roman" w:cs="Times New Roman"/>
        </w:rPr>
        <w:t xml:space="preserve"> in her 200</w:t>
      </w:r>
      <w:r w:rsidR="009452F6">
        <w:rPr>
          <w:rFonts w:ascii="Times New Roman" w:hAnsi="Times New Roman" w:cs="Times New Roman"/>
        </w:rPr>
        <w:t>9</w:t>
      </w:r>
      <w:r w:rsidR="0057218C">
        <w:rPr>
          <w:rFonts w:ascii="Times New Roman" w:hAnsi="Times New Roman" w:cs="Times New Roman"/>
        </w:rPr>
        <w:t xml:space="preserve"> response to Ahmed, </w:t>
      </w:r>
      <w:r w:rsidR="0075420D">
        <w:rPr>
          <w:rFonts w:ascii="Times New Roman" w:hAnsi="Times New Roman" w:cs="Times New Roman"/>
        </w:rPr>
        <w:t xml:space="preserve">suggests that many New Materialist authors should be exempt from this critique, because they do not propose a corralation of the form </w:t>
      </w:r>
      <w:r w:rsidR="000D1F13">
        <w:rPr>
          <w:rFonts w:ascii="Times New Roman" w:hAnsi="Times New Roman" w:cs="Times New Roman"/>
        </w:rPr>
        <w:t>‘t</w:t>
      </w:r>
      <w:r w:rsidR="0075420D">
        <w:rPr>
          <w:rFonts w:ascii="Times New Roman" w:hAnsi="Times New Roman" w:cs="Times New Roman"/>
        </w:rPr>
        <w:t xml:space="preserve">he past said culture whereas I say nature,’ but rather say that the past attempted to keep separate what should be represented as entangled: nature-culture. </w:t>
      </w:r>
      <w:r w:rsidR="00AB4FE7">
        <w:rPr>
          <w:rFonts w:ascii="Times New Roman" w:hAnsi="Times New Roman" w:cs="Times New Roman"/>
        </w:rPr>
        <w:t xml:space="preserve">My hypothesis is that the </w:t>
      </w:r>
      <w:r w:rsidR="000D1F13">
        <w:rPr>
          <w:rFonts w:ascii="Times New Roman" w:hAnsi="Times New Roman" w:cs="Times New Roman"/>
        </w:rPr>
        <w:t xml:space="preserve">very periodizing corralation these works use to separate themselves from the past dictates that the past work on the bad side and the scientific phenomena on the good side of the corralation will be misread in a one-sided fashion. </w:t>
      </w:r>
    </w:p>
  </w:endnote>
  <w:endnote w:id="3">
    <w:p w14:paraId="53893421" w14:textId="27BC05E8" w:rsidR="00B73DC8" w:rsidRPr="00B73DC8" w:rsidRDefault="00B73DC8">
      <w:pPr>
        <w:pStyle w:val="EndnoteText"/>
        <w:rPr>
          <w:sz w:val="22"/>
          <w:szCs w:val="22"/>
        </w:rPr>
      </w:pPr>
      <w:r w:rsidRPr="00B73DC8">
        <w:rPr>
          <w:rStyle w:val="EndnoteReference"/>
          <w:sz w:val="22"/>
          <w:szCs w:val="22"/>
        </w:rPr>
        <w:endnoteRef/>
      </w:r>
      <w:r w:rsidRPr="00B73DC8">
        <w:rPr>
          <w:sz w:val="22"/>
          <w:szCs w:val="22"/>
        </w:rPr>
        <w:t xml:space="preserve"> I have undertaken such a reading of Barad in “Other Matters: Karen Barad’s Two Materialisms and the Science of Undecidability,” forthcoming in </w:t>
      </w:r>
      <w:r w:rsidRPr="00B73DC8">
        <w:rPr>
          <w:i/>
          <w:iCs/>
          <w:sz w:val="22"/>
          <w:szCs w:val="22"/>
        </w:rPr>
        <w:t>Angelaki</w:t>
      </w:r>
      <w:r w:rsidRPr="00B73DC8">
        <w:rPr>
          <w:sz w:val="22"/>
          <w:szCs w:val="22"/>
        </w:rPr>
        <w:t>.</w:t>
      </w:r>
    </w:p>
  </w:endnote>
  <w:endnote w:id="4">
    <w:p w14:paraId="4AA6BA80" w14:textId="101A1CBE" w:rsidR="00A81F5E" w:rsidRDefault="00A81F5E" w:rsidP="00A81F5E">
      <w:pPr>
        <w:pStyle w:val="Footnote"/>
      </w:pPr>
      <w:r>
        <w:rPr>
          <w:vertAlign w:val="superscript"/>
        </w:rPr>
        <w:endnoteRef/>
      </w:r>
      <w:r>
        <w:rPr>
          <w:rFonts w:ascii="Times New Roman" w:hAnsi="Times New Roman"/>
        </w:rPr>
        <w:t xml:space="preserve"> This statement is the most one-sided form of a gesture found in much of her writing. For example, “Part of this may be a pendulum swing in scholarship: a reaction to the good but overstated insights of social constructivist approaches” (Bennett, “Interview”</w:t>
      </w:r>
      <w:r>
        <w:rPr>
          <w:rFonts w:ascii="Times New Roman" w:hAnsi="Times New Roman"/>
          <w:i/>
          <w:iCs/>
        </w:rPr>
        <w:t xml:space="preserve"> </w:t>
      </w:r>
      <w:r>
        <w:rPr>
          <w:rFonts w:ascii="Times New Roman" w:hAnsi="Times New Roman"/>
        </w:rPr>
        <w:t xml:space="preserve">98). This “good but overstated” is the most economical expression of the effort she makes always to have one leg in and one leg out of the field New Materialism tries to create by its performative act of exclusion. Another sign of this is her choice of the name Vital Materialism, which sets her work off from the “New,” but not from the “Materialism.” This could just as easily be read as a concession or as upping the ante of the progressivist gesture, seeking to profit from the field that has been carved out already, while nonetheless turning the same gesture against that field to declare her own uniqueness. Similar, more detailed forms of this </w:t>
      </w:r>
      <w:r w:rsidR="00C77AFE">
        <w:rPr>
          <w:rFonts w:ascii="Times New Roman" w:hAnsi="Times New Roman"/>
        </w:rPr>
        <w:t>corralation</w:t>
      </w:r>
      <w:r>
        <w:rPr>
          <w:rFonts w:ascii="Times New Roman" w:hAnsi="Times New Roman"/>
        </w:rPr>
        <w:t xml:space="preserve"> can be found in </w:t>
      </w:r>
      <w:r>
        <w:rPr>
          <w:rFonts w:ascii="Times New Roman" w:hAnsi="Times New Roman"/>
          <w:i/>
          <w:iCs/>
        </w:rPr>
        <w:t xml:space="preserve">Vibrant Matter </w:t>
      </w:r>
      <w:r>
        <w:rPr>
          <w:rFonts w:ascii="Times New Roman" w:hAnsi="Times New Roman"/>
          <w:iCs/>
        </w:rPr>
        <w:t>(1-2</w:t>
      </w:r>
      <w:r w:rsidR="00B835A4">
        <w:rPr>
          <w:rFonts w:ascii="Times New Roman" w:hAnsi="Times New Roman"/>
          <w:iCs/>
        </w:rPr>
        <w:t>, 17</w:t>
      </w:r>
      <w:r>
        <w:rPr>
          <w:rFonts w:ascii="Times New Roman" w:hAnsi="Times New Roman"/>
          <w:iCs/>
        </w:rPr>
        <w:t>)</w:t>
      </w:r>
      <w:r>
        <w:rPr>
          <w:rFonts w:ascii="Times New Roman" w:hAnsi="Times New Roman"/>
        </w:rPr>
        <w:t>.</w:t>
      </w:r>
    </w:p>
  </w:endnote>
  <w:endnote w:id="5">
    <w:p w14:paraId="794D8E6C" w14:textId="510C99E3" w:rsidR="007B419C" w:rsidRPr="00AA3D73" w:rsidRDefault="007B419C">
      <w:pPr>
        <w:pStyle w:val="EndnoteText"/>
        <w:rPr>
          <w:sz w:val="22"/>
          <w:szCs w:val="22"/>
        </w:rPr>
      </w:pPr>
      <w:r w:rsidRPr="009C5329">
        <w:rPr>
          <w:rStyle w:val="EndnoteReference"/>
          <w:sz w:val="22"/>
          <w:szCs w:val="22"/>
        </w:rPr>
        <w:endnoteRef/>
      </w:r>
      <w:r w:rsidRPr="009C5329">
        <w:rPr>
          <w:sz w:val="22"/>
          <w:szCs w:val="22"/>
        </w:rPr>
        <w:t xml:space="preserve"> I do not know, in selecting the term vital materialism, if Bennett had in mind Diderot, whom Jean Wahl once described as a “</w:t>
      </w:r>
      <w:r w:rsidRPr="009C5329">
        <w:rPr>
          <w:i/>
          <w:sz w:val="22"/>
          <w:szCs w:val="22"/>
        </w:rPr>
        <w:t>matérialiste vitaliste</w:t>
      </w:r>
      <w:r w:rsidRPr="009C5329">
        <w:rPr>
          <w:sz w:val="22"/>
          <w:szCs w:val="22"/>
        </w:rPr>
        <w:t xml:space="preserve">” (Wahl 53). In either case, the connection is more than fortuitous; Diderot is one of several figures from the metaphysical tradition who could aptly be described as a hylozoist, one who posits all matter as living. </w:t>
      </w:r>
      <w:r w:rsidR="00AA3D73">
        <w:rPr>
          <w:sz w:val="22"/>
          <w:szCs w:val="22"/>
        </w:rPr>
        <w:t xml:space="preserve">Diderot is cited as an influence in </w:t>
      </w:r>
      <w:r w:rsidR="00AA3D73">
        <w:rPr>
          <w:i/>
          <w:sz w:val="22"/>
          <w:szCs w:val="22"/>
        </w:rPr>
        <w:t>Vibrant Matter</w:t>
      </w:r>
      <w:r w:rsidR="00AA3D73">
        <w:rPr>
          <w:sz w:val="22"/>
          <w:szCs w:val="22"/>
        </w:rPr>
        <w:t>, pp. xiii, 62.</w:t>
      </w:r>
    </w:p>
  </w:endnote>
  <w:endnote w:id="6">
    <w:p w14:paraId="0DA93075" w14:textId="6737B3C6" w:rsidR="00353724" w:rsidRPr="00353724" w:rsidRDefault="00353724">
      <w:pPr>
        <w:pStyle w:val="EndnoteText"/>
        <w:rPr>
          <w:sz w:val="22"/>
          <w:szCs w:val="22"/>
        </w:rPr>
      </w:pPr>
      <w:r w:rsidRPr="00353724">
        <w:rPr>
          <w:rStyle w:val="EndnoteReference"/>
          <w:sz w:val="22"/>
          <w:szCs w:val="22"/>
        </w:rPr>
        <w:endnoteRef/>
      </w:r>
      <w:r w:rsidRPr="00353724">
        <w:rPr>
          <w:sz w:val="22"/>
          <w:szCs w:val="22"/>
        </w:rPr>
        <w:t xml:space="preserve"> All references to Jane Bennett’s work are to </w:t>
      </w:r>
      <w:r w:rsidRPr="00353724">
        <w:rPr>
          <w:i/>
          <w:sz w:val="22"/>
          <w:szCs w:val="22"/>
        </w:rPr>
        <w:t>Vibrant Matter</w:t>
      </w:r>
      <w:r w:rsidRPr="00353724">
        <w:rPr>
          <w:sz w:val="22"/>
          <w:szCs w:val="22"/>
        </w:rPr>
        <w:t xml:space="preserve"> unless otherwise noted.</w:t>
      </w:r>
    </w:p>
  </w:endnote>
  <w:endnote w:id="7">
    <w:p w14:paraId="3AE231A4" w14:textId="023E2305" w:rsidR="007B419C" w:rsidRPr="009C5329" w:rsidRDefault="007B419C">
      <w:pPr>
        <w:pStyle w:val="EndnoteText"/>
        <w:rPr>
          <w:sz w:val="22"/>
          <w:szCs w:val="22"/>
        </w:rPr>
      </w:pPr>
      <w:r w:rsidRPr="009C5329">
        <w:rPr>
          <w:rStyle w:val="EndnoteReference"/>
          <w:sz w:val="22"/>
          <w:szCs w:val="22"/>
        </w:rPr>
        <w:endnoteRef/>
      </w:r>
      <w:r w:rsidRPr="009C5329">
        <w:rPr>
          <w:sz w:val="22"/>
          <w:szCs w:val="22"/>
        </w:rPr>
        <w:t xml:space="preserve"> In the same letter Bennett cites, Spinoza writes, “So you see that I place freedom, not in free decision, but in free necessity” (Spinoza 909). This connection of freedom and necessity remained decisive at least from Kant, who </w:t>
      </w:r>
      <w:r w:rsidR="008F730C">
        <w:rPr>
          <w:sz w:val="22"/>
          <w:szCs w:val="22"/>
        </w:rPr>
        <w:t>understood</w:t>
      </w:r>
      <w:r w:rsidRPr="009C5329">
        <w:rPr>
          <w:sz w:val="22"/>
          <w:szCs w:val="22"/>
        </w:rPr>
        <w:t xml:space="preserve"> our freedom </w:t>
      </w:r>
      <w:r w:rsidR="008F730C">
        <w:rPr>
          <w:sz w:val="22"/>
          <w:szCs w:val="22"/>
        </w:rPr>
        <w:t xml:space="preserve">as </w:t>
      </w:r>
      <w:r w:rsidRPr="009C5329">
        <w:rPr>
          <w:sz w:val="22"/>
          <w:szCs w:val="22"/>
        </w:rPr>
        <w:t xml:space="preserve">autonomy, our </w:t>
      </w:r>
      <w:r w:rsidR="007350AE">
        <w:rPr>
          <w:sz w:val="22"/>
          <w:szCs w:val="22"/>
        </w:rPr>
        <w:t>discovery in</w:t>
      </w:r>
      <w:r w:rsidRPr="009C5329">
        <w:rPr>
          <w:sz w:val="22"/>
          <w:szCs w:val="22"/>
        </w:rPr>
        <w:t xml:space="preserve"> ourselves </w:t>
      </w:r>
      <w:r w:rsidR="007350AE">
        <w:rPr>
          <w:sz w:val="22"/>
          <w:szCs w:val="22"/>
        </w:rPr>
        <w:t xml:space="preserve">of </w:t>
      </w:r>
      <w:r w:rsidRPr="009C5329">
        <w:rPr>
          <w:sz w:val="22"/>
          <w:szCs w:val="22"/>
        </w:rPr>
        <w:t>the moral law, to Hegel, who wrote, “From this we can also gather how absurd it is to regard freedom and necessity as mutually exclusive. To be sure, necessity as such is not yet freedom; but freedom presupposes necessity and contains it sublated within itself” (Hegel 232).</w:t>
      </w:r>
    </w:p>
  </w:endnote>
  <w:endnote w:id="8">
    <w:p w14:paraId="129746EF" w14:textId="23ADEEEC" w:rsidR="007B419C" w:rsidRPr="0035736F" w:rsidRDefault="007B419C">
      <w:pPr>
        <w:pStyle w:val="EndnoteText"/>
        <w:rPr>
          <w:sz w:val="22"/>
          <w:szCs w:val="22"/>
        </w:rPr>
      </w:pPr>
      <w:r w:rsidRPr="0035736F">
        <w:rPr>
          <w:rStyle w:val="EndnoteReference"/>
          <w:sz w:val="22"/>
          <w:szCs w:val="22"/>
        </w:rPr>
        <w:endnoteRef/>
      </w:r>
      <w:r w:rsidRPr="0035736F">
        <w:rPr>
          <w:sz w:val="22"/>
          <w:szCs w:val="22"/>
        </w:rPr>
        <w:t xml:space="preserve"> </w:t>
      </w:r>
      <w:r w:rsidR="00D421DE">
        <w:rPr>
          <w:sz w:val="22"/>
          <w:szCs w:val="22"/>
        </w:rPr>
        <w:t>In “Living with Omega-3,”</w:t>
      </w:r>
      <w:r w:rsidRPr="0035736F">
        <w:rPr>
          <w:sz w:val="22"/>
          <w:szCs w:val="22"/>
        </w:rPr>
        <w:t>Abrahamsson et al. also identify the contradiction in Bennett’s use of this study, describing it as a tension between the agency or activity of matter and its causality</w:t>
      </w:r>
      <w:r w:rsidR="00C52EF5">
        <w:rPr>
          <w:sz w:val="22"/>
          <w:szCs w:val="22"/>
        </w:rPr>
        <w:t xml:space="preserve"> (14)</w:t>
      </w:r>
      <w:r w:rsidRPr="0035736F">
        <w:rPr>
          <w:sz w:val="22"/>
          <w:szCs w:val="22"/>
        </w:rPr>
        <w:t xml:space="preserve">. </w:t>
      </w:r>
    </w:p>
  </w:endnote>
  <w:endnote w:id="9">
    <w:p w14:paraId="5088F6F2" w14:textId="45752733" w:rsidR="007B419C" w:rsidRDefault="007B419C">
      <w:pPr>
        <w:pStyle w:val="Footnote"/>
      </w:pPr>
      <w:r>
        <w:rPr>
          <w:rFonts w:ascii="Times New Roman" w:eastAsia="Times New Roman" w:hAnsi="Times New Roman" w:cs="Times New Roman"/>
          <w:vertAlign w:val="superscript"/>
        </w:rPr>
        <w:endnoteRef/>
      </w:r>
      <w:r>
        <w:rPr>
          <w:rFonts w:ascii="Times New Roman" w:hAnsi="Times New Roman"/>
        </w:rPr>
        <w:t xml:space="preserve"> Ilya Prigogine and Isabelle Stengers, who are an important reference point for Bennett and a significant precursor of New Materialist studies in general, commit this same error. They recognize mechanistic descriptions of nature as a model while treating chaotic descriptions as absolute knowledge. For example, in </w:t>
      </w:r>
      <w:r>
        <w:rPr>
          <w:rFonts w:ascii="Times New Roman" w:hAnsi="Times New Roman"/>
          <w:i/>
          <w:iCs/>
        </w:rPr>
        <w:t>Order Out of Chaos</w:t>
      </w:r>
      <w:r>
        <w:rPr>
          <w:rFonts w:ascii="Times New Roman" w:hAnsi="Times New Roman"/>
        </w:rPr>
        <w:t>, they have the following to say about</w:t>
      </w:r>
      <w:r w:rsidR="00B672F8">
        <w:rPr>
          <w:rFonts w:ascii="Times New Roman" w:hAnsi="Times New Roman"/>
        </w:rPr>
        <w:t xml:space="preserve"> </w:t>
      </w:r>
      <w:r w:rsidR="005F156C">
        <w:rPr>
          <w:rFonts w:ascii="Times New Roman" w:hAnsi="Times New Roman"/>
        </w:rPr>
        <w:t>the “limit” reached by “classical science</w:t>
      </w:r>
      <w:r>
        <w:rPr>
          <w:rFonts w:ascii="Times New Roman" w:hAnsi="Times New Roman"/>
        </w:rPr>
        <w:t>:</w:t>
      </w:r>
      <w:r w:rsidR="005F156C">
        <w:rPr>
          <w:rFonts w:ascii="Times New Roman" w:hAnsi="Times New Roman"/>
        </w:rPr>
        <w:t>”</w:t>
      </w:r>
      <w:r>
        <w:rPr>
          <w:rFonts w:ascii="Times New Roman" w:hAnsi="Times New Roman"/>
        </w:rPr>
        <w:t xml:space="preserve"> “One aspect of this transformation is the discovery of</w:t>
      </w:r>
      <w:r>
        <w:rPr>
          <w:rFonts w:ascii="Times New Roman" w:hAnsi="Times New Roman"/>
          <w:sz w:val="18"/>
          <w:szCs w:val="18"/>
        </w:rPr>
        <w:t xml:space="preserve"> </w:t>
      </w:r>
      <w:r>
        <w:rPr>
          <w:rFonts w:ascii="Times New Roman" w:hAnsi="Times New Roman"/>
        </w:rPr>
        <w:t>the limitations of</w:t>
      </w:r>
      <w:r>
        <w:rPr>
          <w:rFonts w:ascii="Times New Roman" w:hAnsi="Times New Roman"/>
          <w:sz w:val="18"/>
          <w:szCs w:val="18"/>
        </w:rPr>
        <w:t xml:space="preserve"> </w:t>
      </w:r>
      <w:r>
        <w:rPr>
          <w:rFonts w:ascii="Times New Roman" w:hAnsi="Times New Roman"/>
          <w:lang w:val="it-IT"/>
        </w:rPr>
        <w:t>classical</w:t>
      </w:r>
      <w:r>
        <w:rPr>
          <w:rFonts w:ascii="Times New Roman" w:hAnsi="Times New Roman"/>
        </w:rPr>
        <w:t xml:space="preserve"> concepts that imply that a knowledge of</w:t>
      </w:r>
      <w:r>
        <w:rPr>
          <w:rFonts w:ascii="Times New Roman" w:hAnsi="Times New Roman"/>
          <w:sz w:val="18"/>
          <w:szCs w:val="18"/>
        </w:rPr>
        <w:t xml:space="preserve"> </w:t>
      </w:r>
      <w:r>
        <w:rPr>
          <w:rFonts w:ascii="Times New Roman" w:hAnsi="Times New Roman"/>
        </w:rPr>
        <w:t xml:space="preserve">the world </w:t>
      </w:r>
      <w:r w:rsidR="00E41BC1">
        <w:rPr>
          <w:rFonts w:ascii="Times New Roman" w:hAnsi="Times New Roman"/>
        </w:rPr>
        <w:t>‘</w:t>
      </w:r>
      <w:r>
        <w:rPr>
          <w:rFonts w:ascii="Times New Roman" w:hAnsi="Times New Roman"/>
        </w:rPr>
        <w:t>as it is</w:t>
      </w:r>
      <w:r w:rsidR="00E41BC1">
        <w:rPr>
          <w:rFonts w:ascii="Times New Roman" w:hAnsi="Times New Roman"/>
        </w:rPr>
        <w:t>’</w:t>
      </w:r>
      <w:r>
        <w:rPr>
          <w:rFonts w:ascii="Times New Roman" w:hAnsi="Times New Roman"/>
        </w:rPr>
        <w:t xml:space="preserve"> was possible […] As randomness, complexity, and irreversibility enter into physics as objects of positive knowledge, we are moving away from this rather naive assumption of a direct connection between our </w:t>
      </w:r>
      <w:r>
        <w:rPr>
          <w:rFonts w:ascii="Times New Roman" w:hAnsi="Times New Roman"/>
          <w:lang w:val="fr-FR"/>
        </w:rPr>
        <w:t xml:space="preserve">description </w:t>
      </w:r>
      <w:r>
        <w:rPr>
          <w:rFonts w:ascii="Times New Roman" w:hAnsi="Times New Roman"/>
          <w:sz w:val="21"/>
          <w:szCs w:val="21"/>
        </w:rPr>
        <w:t xml:space="preserve">of </w:t>
      </w:r>
      <w:r>
        <w:rPr>
          <w:rFonts w:ascii="Times New Roman" w:hAnsi="Times New Roman"/>
        </w:rPr>
        <w:t>the world and the world itself” (Prigogine and Stengers 54-55). Nonetheless, they embrace this “direct connection” when describing chaos and complexity: “The artificial may be deterministic and reversible. The natural contains essential elements of randomness and irreversibility. This leads to a new view of matter in which matter is no longer the passive substance described in the mechanistic world view but is associated with spontaneous activity” (Prigogine and Stengers 9).</w:t>
      </w:r>
    </w:p>
  </w:endnote>
  <w:endnote w:id="10">
    <w:p w14:paraId="31767DA1" w14:textId="603BC4C3" w:rsidR="007B419C" w:rsidRDefault="007B419C">
      <w:pPr>
        <w:pStyle w:val="Footnote"/>
      </w:pPr>
      <w:r>
        <w:rPr>
          <w:rFonts w:ascii="Times New Roman" w:eastAsia="Times New Roman" w:hAnsi="Times New Roman" w:cs="Times New Roman"/>
          <w:vertAlign w:val="superscript"/>
        </w:rPr>
        <w:endnoteRef/>
      </w:r>
      <w:r>
        <w:rPr>
          <w:rFonts w:ascii="Times New Roman" w:hAnsi="Times New Roman"/>
        </w:rPr>
        <w:t xml:space="preserve"> See Gleick,</w:t>
      </w:r>
      <w:r w:rsidR="001B41B3">
        <w:rPr>
          <w:rFonts w:ascii="Times New Roman" w:hAnsi="Times New Roman"/>
        </w:rPr>
        <w:t xml:space="preserve"> </w:t>
      </w:r>
      <w:r w:rsidR="001B41B3">
        <w:rPr>
          <w:rFonts w:ascii="Times New Roman" w:hAnsi="Times New Roman"/>
          <w:i/>
        </w:rPr>
        <w:t>Chaos</w:t>
      </w:r>
      <w:r>
        <w:rPr>
          <w:rFonts w:ascii="Times New Roman" w:hAnsi="Times New Roman"/>
        </w:rPr>
        <w:t xml:space="preserve"> </w:t>
      </w:r>
      <w:r w:rsidR="001B41B3">
        <w:rPr>
          <w:rFonts w:ascii="Times New Roman" w:hAnsi="Times New Roman"/>
        </w:rPr>
        <w:t>pp.</w:t>
      </w:r>
      <w:r>
        <w:rPr>
          <w:rFonts w:ascii="Times New Roman" w:hAnsi="Times New Roman"/>
        </w:rPr>
        <w:t xml:space="preserve"> 21-23. Tellingly, this subsection is titled “Order masquerading as randomness” (</w:t>
      </w:r>
      <w:r w:rsidR="002B5974">
        <w:rPr>
          <w:rFonts w:ascii="Times New Roman" w:hAnsi="Times New Roman"/>
        </w:rPr>
        <w:t xml:space="preserve">Gleick </w:t>
      </w:r>
      <w:r>
        <w:rPr>
          <w:rFonts w:ascii="Times New Roman" w:hAnsi="Times New Roman"/>
        </w:rPr>
        <w:t>ix).</w:t>
      </w:r>
    </w:p>
  </w:endnote>
  <w:endnote w:id="11">
    <w:p w14:paraId="29BE498E" w14:textId="77777777" w:rsidR="007B419C" w:rsidRDefault="007B419C">
      <w:pPr>
        <w:pStyle w:val="Footnote"/>
      </w:pPr>
      <w:r>
        <w:rPr>
          <w:rFonts w:ascii="Times New Roman" w:eastAsia="Times New Roman" w:hAnsi="Times New Roman" w:cs="Times New Roman"/>
          <w:vertAlign w:val="superscript"/>
        </w:rPr>
        <w:endnoteRef/>
      </w:r>
      <w:r>
        <w:rPr>
          <w:rFonts w:ascii="Times New Roman" w:hAnsi="Times New Roman"/>
        </w:rPr>
        <w:t xml:space="preserve"> Nor should we think that whatever indeterminacy or undecidability exists belongs on the side of the subject (or language), whether as a corrigible or incorrigible shortcoming of our knowledge. What belongs to or comes from subject and object, being and thinking, is just as undecidable as the necessity or contingency on either side.</w:t>
      </w:r>
    </w:p>
  </w:endnote>
  <w:endnote w:id="12">
    <w:p w14:paraId="1B5565A1" w14:textId="77777777" w:rsidR="00896ED9" w:rsidRPr="00F250DA" w:rsidRDefault="00896ED9" w:rsidP="00896E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F250DA">
        <w:rPr>
          <w:rStyle w:val="EndnoteReference"/>
          <w:sz w:val="22"/>
          <w:szCs w:val="22"/>
        </w:rPr>
        <w:endnoteRef/>
      </w:r>
      <w:r w:rsidRPr="00F250DA">
        <w:rPr>
          <w:sz w:val="22"/>
          <w:szCs w:val="22"/>
        </w:rPr>
        <w:t xml:space="preserve"> “(My vital materialism posits the causality of both inorganic and organic matter to be, to some extent, inscrutable to us, and also that a mechanistic model is inadequate to both.)” (Bennett</w:t>
      </w:r>
      <w:r w:rsidRPr="00F250DA">
        <w:rPr>
          <w:i/>
          <w:sz w:val="22"/>
          <w:szCs w:val="22"/>
        </w:rPr>
        <w:t xml:space="preserve"> </w:t>
      </w:r>
      <w:r w:rsidRPr="00F250DA">
        <w:rPr>
          <w:sz w:val="22"/>
          <w:szCs w:val="22"/>
        </w:rPr>
        <w:t>67).</w:t>
      </w:r>
    </w:p>
  </w:endnote>
  <w:endnote w:id="13">
    <w:p w14:paraId="04188BAE" w14:textId="77777777" w:rsidR="007B419C" w:rsidRPr="00367BF7" w:rsidRDefault="007B419C">
      <w:pPr>
        <w:pStyle w:val="EndnoteText"/>
        <w:rPr>
          <w:sz w:val="22"/>
          <w:szCs w:val="22"/>
        </w:rPr>
      </w:pPr>
      <w:r w:rsidRPr="00367BF7">
        <w:rPr>
          <w:rStyle w:val="EndnoteReference"/>
          <w:sz w:val="22"/>
          <w:szCs w:val="22"/>
        </w:rPr>
        <w:endnoteRef/>
      </w:r>
      <w:r w:rsidRPr="00367BF7">
        <w:rPr>
          <w:sz w:val="22"/>
          <w:szCs w:val="22"/>
        </w:rPr>
        <w:t xml:space="preserve"> Several critics of vital materialism have taken issue with its undifferentiated representation of life. Lemke suggests that Bennett effaces a relational view necessary to account for a </w:t>
      </w:r>
      <w:r>
        <w:rPr>
          <w:sz w:val="22"/>
          <w:szCs w:val="22"/>
        </w:rPr>
        <w:t>“</w:t>
      </w:r>
      <w:r w:rsidRPr="00367BF7">
        <w:rPr>
          <w:sz w:val="22"/>
          <w:szCs w:val="22"/>
        </w:rPr>
        <w:t>government of things’</w:t>
      </w:r>
      <w:r>
        <w:rPr>
          <w:sz w:val="22"/>
          <w:szCs w:val="22"/>
        </w:rPr>
        <w:t xml:space="preserve"> </w:t>
      </w:r>
      <w:r w:rsidRPr="00367BF7">
        <w:rPr>
          <w:sz w:val="22"/>
          <w:szCs w:val="22"/>
        </w:rPr>
        <w:t>(15)</w:t>
      </w:r>
      <w:r>
        <w:rPr>
          <w:sz w:val="22"/>
          <w:szCs w:val="22"/>
        </w:rPr>
        <w:t>,</w:t>
      </w:r>
      <w:r w:rsidRPr="00367BF7">
        <w:rPr>
          <w:sz w:val="22"/>
          <w:szCs w:val="22"/>
        </w:rPr>
        <w:t xml:space="preserve"> Braun and Whatmore call Bennett’s undifferentiated approach a </w:t>
      </w:r>
      <w:r>
        <w:rPr>
          <w:sz w:val="22"/>
          <w:szCs w:val="22"/>
        </w:rPr>
        <w:t>“</w:t>
      </w:r>
      <w:r w:rsidRPr="00367BF7">
        <w:rPr>
          <w:sz w:val="22"/>
          <w:szCs w:val="22"/>
        </w:rPr>
        <w:t>metaphysics</w:t>
      </w:r>
      <w:r>
        <w:rPr>
          <w:sz w:val="22"/>
          <w:szCs w:val="22"/>
        </w:rPr>
        <w:t>” (</w:t>
      </w:r>
      <w:r w:rsidRPr="00367BF7">
        <w:rPr>
          <w:sz w:val="22"/>
          <w:szCs w:val="22"/>
        </w:rPr>
        <w:t>xxix</w:t>
      </w:r>
      <w:r>
        <w:rPr>
          <w:sz w:val="22"/>
          <w:szCs w:val="22"/>
        </w:rPr>
        <w:t>)</w:t>
      </w:r>
      <w:r w:rsidRPr="00367BF7">
        <w:rPr>
          <w:sz w:val="22"/>
          <w:szCs w:val="22"/>
        </w:rPr>
        <w:t>, and Bannon suggests that Bennett has mistaken affectivity for vitality</w:t>
      </w:r>
      <w:r>
        <w:rPr>
          <w:sz w:val="22"/>
          <w:szCs w:val="22"/>
        </w:rPr>
        <w:t xml:space="preserve"> </w:t>
      </w:r>
      <w:r w:rsidRPr="00367BF7">
        <w:rPr>
          <w:sz w:val="22"/>
          <w:szCs w:val="22"/>
        </w:rPr>
        <w:t>(3).</w:t>
      </w:r>
    </w:p>
  </w:endnote>
  <w:endnote w:id="14">
    <w:p w14:paraId="5B5692B8" w14:textId="1BBA30D4" w:rsidR="00B73DC8" w:rsidRPr="00B73DC8" w:rsidRDefault="00B73DC8" w:rsidP="00E2312A">
      <w:pPr>
        <w:pStyle w:val="EndnoteText"/>
        <w:rPr>
          <w:sz w:val="22"/>
          <w:szCs w:val="22"/>
        </w:rPr>
      </w:pPr>
      <w:r w:rsidRPr="00B73DC8">
        <w:rPr>
          <w:rStyle w:val="EndnoteReference"/>
          <w:sz w:val="22"/>
          <w:szCs w:val="22"/>
        </w:rPr>
        <w:endnoteRef/>
      </w:r>
      <w:r w:rsidRPr="00B73DC8">
        <w:rPr>
          <w:sz w:val="22"/>
          <w:szCs w:val="22"/>
        </w:rPr>
        <w:t xml:space="preserve"> Barad asserts the universality of “aliveness” in </w:t>
      </w:r>
      <w:r w:rsidRPr="00B73DC8">
        <w:rPr>
          <w:i/>
          <w:iCs/>
          <w:sz w:val="22"/>
          <w:szCs w:val="22"/>
        </w:rPr>
        <w:t>Meeting the Universe Halfway</w:t>
      </w:r>
      <w:r w:rsidRPr="00B73DC8">
        <w:rPr>
          <w:sz w:val="22"/>
          <w:szCs w:val="22"/>
        </w:rPr>
        <w:t>, pp. 177 and 234-5.</w:t>
      </w:r>
      <w:r w:rsidR="00E2312A">
        <w:rPr>
          <w:sz w:val="22"/>
          <w:szCs w:val="22"/>
        </w:rPr>
        <w:t xml:space="preserve"> For an understanding of this theme in the work of Catherine Malabou, I am indebted to Thomas Clement Mercier’s “</w:t>
      </w:r>
      <w:r w:rsidR="00E2312A" w:rsidRPr="00E2312A">
        <w:rPr>
          <w:sz w:val="22"/>
          <w:szCs w:val="22"/>
        </w:rPr>
        <w:t>Resisting the Present: Biopower in the Face of the Event</w:t>
      </w:r>
      <w:r w:rsidR="005A023F">
        <w:rPr>
          <w:sz w:val="22"/>
          <w:szCs w:val="22"/>
        </w:rPr>
        <w:t xml:space="preserve"> </w:t>
      </w:r>
      <w:r w:rsidR="00E2312A" w:rsidRPr="00E2312A">
        <w:rPr>
          <w:sz w:val="22"/>
          <w:szCs w:val="22"/>
        </w:rPr>
        <w:t>(Some Notes on Monstrous Lives)</w:t>
      </w:r>
      <w:r w:rsidR="00E2312A">
        <w:rPr>
          <w:sz w:val="22"/>
          <w:szCs w:val="22"/>
        </w:rPr>
        <w:t xml:space="preserve">,” forthcoming in </w:t>
      </w:r>
      <w:r w:rsidR="00E2312A" w:rsidRPr="00E2312A">
        <w:rPr>
          <w:i/>
          <w:iCs/>
          <w:sz w:val="22"/>
          <w:szCs w:val="22"/>
        </w:rPr>
        <w:t>CR: The New Centennial Review</w:t>
      </w:r>
      <w:r w:rsidR="00E2312A">
        <w:rPr>
          <w:sz w:val="22"/>
          <w:szCs w:val="22"/>
        </w:rPr>
        <w:t>.</w:t>
      </w:r>
    </w:p>
  </w:endnote>
  <w:endnote w:id="15">
    <w:p w14:paraId="6A365CD9" w14:textId="4BC64BE9" w:rsidR="00473EAC" w:rsidRPr="008D423A" w:rsidRDefault="00473EAC">
      <w:pPr>
        <w:pStyle w:val="EndnoteText"/>
        <w:rPr>
          <w:sz w:val="22"/>
          <w:szCs w:val="22"/>
        </w:rPr>
      </w:pPr>
      <w:r w:rsidRPr="008D423A">
        <w:rPr>
          <w:rStyle w:val="EndnoteReference"/>
          <w:sz w:val="22"/>
          <w:szCs w:val="22"/>
        </w:rPr>
        <w:endnoteRef/>
      </w:r>
      <w:r w:rsidRPr="008D423A">
        <w:rPr>
          <w:sz w:val="22"/>
          <w:szCs w:val="22"/>
        </w:rPr>
        <w:t xml:space="preserve"> For a survey of more contemporary </w:t>
      </w:r>
      <w:r w:rsidR="00DA56C4">
        <w:rPr>
          <w:sz w:val="22"/>
          <w:szCs w:val="22"/>
        </w:rPr>
        <w:t>research</w:t>
      </w:r>
      <w:r w:rsidRPr="008D423A">
        <w:rPr>
          <w:sz w:val="22"/>
          <w:szCs w:val="22"/>
        </w:rPr>
        <w:t xml:space="preserve"> on </w:t>
      </w:r>
      <w:r w:rsidR="00DA56C4">
        <w:rPr>
          <w:sz w:val="22"/>
          <w:szCs w:val="22"/>
        </w:rPr>
        <w:t>Positional Information</w:t>
      </w:r>
      <w:r w:rsidRPr="008D423A">
        <w:rPr>
          <w:sz w:val="22"/>
          <w:szCs w:val="22"/>
        </w:rPr>
        <w:t xml:space="preserve">, see ch. 6 of Evelyn Fox Keller’s </w:t>
      </w:r>
      <w:r w:rsidRPr="008D423A">
        <w:rPr>
          <w:i/>
          <w:sz w:val="22"/>
          <w:szCs w:val="22"/>
        </w:rPr>
        <w:t>Making Sense of Life</w:t>
      </w:r>
      <w:r w:rsidRPr="008D423A">
        <w:rPr>
          <w:sz w:val="22"/>
          <w:szCs w:val="22"/>
        </w:rPr>
        <w:t>.</w:t>
      </w:r>
    </w:p>
  </w:endnote>
  <w:endnote w:id="16">
    <w:p w14:paraId="69517C8A" w14:textId="1F54E389" w:rsidR="007B419C" w:rsidRDefault="007B419C">
      <w:pPr>
        <w:pStyle w:val="Footnote"/>
      </w:pPr>
      <w:r w:rsidRPr="00116F44">
        <w:rPr>
          <w:rFonts w:ascii="Times New Roman" w:eastAsia="Times New Roman" w:hAnsi="Times New Roman" w:cs="Times New Roman"/>
          <w:vertAlign w:val="superscript"/>
        </w:rPr>
        <w:endnoteRef/>
      </w:r>
      <w:r w:rsidRPr="00116F44">
        <w:rPr>
          <w:rFonts w:ascii="Times New Roman" w:hAnsi="Times New Roman"/>
        </w:rPr>
        <w:t xml:space="preserve"> In </w:t>
      </w:r>
      <w:r>
        <w:rPr>
          <w:rFonts w:ascii="Times New Roman" w:hAnsi="Times New Roman"/>
        </w:rPr>
        <w:t>“</w:t>
      </w:r>
      <w:r w:rsidRPr="00116F44">
        <w:rPr>
          <w:rFonts w:ascii="Times New Roman" w:hAnsi="Times New Roman"/>
        </w:rPr>
        <w:t>A Vitalist Stopover</w:t>
      </w:r>
      <w:r w:rsidR="001B41B3">
        <w:rPr>
          <w:rFonts w:ascii="Times New Roman" w:hAnsi="Times New Roman"/>
        </w:rPr>
        <w:t>,</w:t>
      </w:r>
      <w:r>
        <w:rPr>
          <w:rFonts w:ascii="Times New Roman" w:hAnsi="Times New Roman"/>
        </w:rPr>
        <w:t>”</w:t>
      </w:r>
      <w:r w:rsidRPr="00116F44">
        <w:rPr>
          <w:rFonts w:ascii="Times New Roman" w:hAnsi="Times New Roman"/>
        </w:rPr>
        <w:t xml:space="preserve"> Bennett </w:t>
      </w:r>
      <w:r w:rsidR="001B41B3">
        <w:rPr>
          <w:rFonts w:ascii="Times New Roman" w:hAnsi="Times New Roman"/>
        </w:rPr>
        <w:t xml:space="preserve">considers the same debate and </w:t>
      </w:r>
      <w:r w:rsidRPr="00116F44">
        <w:rPr>
          <w:rFonts w:ascii="Times New Roman" w:hAnsi="Times New Roman"/>
        </w:rPr>
        <w:t>reaches the opposite c</w:t>
      </w:r>
      <w:r>
        <w:rPr>
          <w:rFonts w:ascii="Times New Roman" w:hAnsi="Times New Roman"/>
        </w:rPr>
        <w:t xml:space="preserve">onclusion, “Bakhtin recommended that Driesch rethink what a </w:t>
      </w:r>
      <w:r w:rsidR="001B41B3">
        <w:rPr>
          <w:rFonts w:ascii="Times New Roman" w:hAnsi="Times New Roman"/>
        </w:rPr>
        <w:t>‘</w:t>
      </w:r>
      <w:r>
        <w:rPr>
          <w:rFonts w:ascii="Times New Roman" w:hAnsi="Times New Roman"/>
        </w:rPr>
        <w:t>machine</w:t>
      </w:r>
      <w:r w:rsidR="001B41B3">
        <w:rPr>
          <w:rFonts w:ascii="Times New Roman" w:hAnsi="Times New Roman"/>
        </w:rPr>
        <w:t>’</w:t>
      </w:r>
      <w:r>
        <w:rPr>
          <w:rFonts w:ascii="Times New Roman" w:hAnsi="Times New Roman"/>
        </w:rPr>
        <w:t xml:space="preserve"> can be rather than reject physico-materialist explanation per se. I agree</w:t>
      </w:r>
      <w:r w:rsidR="001B41B3">
        <w:rPr>
          <w:rFonts w:ascii="Times New Roman" w:hAnsi="Times New Roman"/>
        </w:rPr>
        <w:t>”</w:t>
      </w:r>
      <w:r>
        <w:rPr>
          <w:rFonts w:ascii="Times New Roman" w:hAnsi="Times New Roman"/>
        </w:rPr>
        <w:t xml:space="preserve"> </w:t>
      </w:r>
      <w:r w:rsidRPr="00116F44">
        <w:rPr>
          <w:rFonts w:ascii="Times New Roman" w:hAnsi="Times New Roman"/>
        </w:rPr>
        <w:t>(56)</w:t>
      </w:r>
      <w:r>
        <w:rPr>
          <w:rFonts w:ascii="Times New Roman" w:hAnsi="Times New Roman"/>
        </w:rPr>
        <w:t>. While she seems to take a more generous stance to the possibility of a creative machine in this passage, she misattributes this idea to Bakhtin. The latter maintained a rigorously mechanistic representation of both matter and the machine, and refuted Driesch on those grounds. Of course, because Driesch separates the vital force from matter, and Bakhtin represents matter as mechanistic, she disagrees with both of them.</w:t>
      </w:r>
    </w:p>
  </w:endnote>
  <w:endnote w:id="17">
    <w:p w14:paraId="3417AB3A" w14:textId="349BA8E5" w:rsidR="00B04273" w:rsidRPr="00B04273" w:rsidRDefault="00B04273">
      <w:pPr>
        <w:pStyle w:val="EndnoteText"/>
        <w:rPr>
          <w:sz w:val="22"/>
          <w:szCs w:val="22"/>
        </w:rPr>
      </w:pPr>
      <w:r w:rsidRPr="00B04273">
        <w:rPr>
          <w:rStyle w:val="EndnoteReference"/>
          <w:sz w:val="22"/>
          <w:szCs w:val="22"/>
        </w:rPr>
        <w:endnoteRef/>
      </w:r>
      <w:r w:rsidRPr="00B04273">
        <w:rPr>
          <w:sz w:val="22"/>
          <w:szCs w:val="22"/>
        </w:rPr>
        <w:t xml:space="preserve"> See Borges’ “Ramon Llull’s Thinking Machine.”</w:t>
      </w:r>
    </w:p>
  </w:endnote>
  <w:endnote w:id="18">
    <w:p w14:paraId="613DB1F4" w14:textId="77777777" w:rsidR="007B419C" w:rsidRDefault="007B419C">
      <w:pPr>
        <w:pStyle w:val="Footnote"/>
      </w:pPr>
      <w:r w:rsidRPr="005E468C">
        <w:rPr>
          <w:rFonts w:ascii="Times New Roman" w:hAnsi="Times New Roman" w:cs="Times New Roman"/>
          <w:vertAlign w:val="superscript"/>
        </w:rPr>
        <w:endnoteRef/>
      </w:r>
      <w:r>
        <w:rPr>
          <w:rFonts w:ascii="Times New Roman" w:hAnsi="Times New Roman"/>
        </w:rPr>
        <w:t xml:space="preserve"> In “Logics of Generalization,” David Cunningham offers an insightful critique of the corralationist gesture that treats Derrida as a transcendental linguist akin to Benveniste. Cunningham’s conclusion, that self-styled speculative and materialist work ends up in a “return to a pre-critical idea of philosophy,” demonstrates the relationship of supposed novelty to conservatism that I am sketching out here.</w:t>
      </w:r>
    </w:p>
  </w:endnote>
  <w:endnote w:id="19">
    <w:p w14:paraId="10F29BC4" w14:textId="6C53E6F4" w:rsidR="00A03DA9" w:rsidRPr="00C00AF8" w:rsidRDefault="00A03DA9" w:rsidP="00C00AF8">
      <w:pPr>
        <w:rPr>
          <w:rFonts w:eastAsia="Times New Roman"/>
          <w:bdr w:val="none" w:sz="0" w:space="0" w:color="auto"/>
        </w:rPr>
      </w:pPr>
      <w:r w:rsidRPr="00A03DA9">
        <w:rPr>
          <w:rStyle w:val="EndnoteReference"/>
          <w:sz w:val="22"/>
          <w:szCs w:val="22"/>
        </w:rPr>
        <w:endnoteRef/>
      </w:r>
      <w:r w:rsidRPr="00A03DA9">
        <w:rPr>
          <w:sz w:val="22"/>
          <w:szCs w:val="22"/>
        </w:rPr>
        <w:t xml:space="preserve"> It is difficult to evaluate what Bennett means by this term</w:t>
      </w:r>
      <w:r>
        <w:rPr>
          <w:sz w:val="22"/>
          <w:szCs w:val="22"/>
        </w:rPr>
        <w:t xml:space="preserve"> (purposiveness)</w:t>
      </w:r>
      <w:r w:rsidRPr="00A03DA9">
        <w:rPr>
          <w:sz w:val="22"/>
          <w:szCs w:val="22"/>
        </w:rPr>
        <w:t>. It occurs most frequently in connection with her discussion of Kant in chapter 5, though she seems to use the term in an almost opposite sense</w:t>
      </w:r>
      <w:r>
        <w:rPr>
          <w:sz w:val="22"/>
          <w:szCs w:val="22"/>
        </w:rPr>
        <w:t xml:space="preserve"> to Kant’s usage. It seems to be equivalent to “intentional” in her discourse, suggesting that she takes it to mean a consciously held and represented purpose. But Kant is explicit throughout the “Critique of Teleological Judgment” that purposiveness is simply the amenability organized beings </w:t>
      </w:r>
      <w:r w:rsidR="00E3626C">
        <w:rPr>
          <w:sz w:val="22"/>
          <w:szCs w:val="22"/>
        </w:rPr>
        <w:t>and</w:t>
      </w:r>
      <w:r w:rsidR="004C25CB">
        <w:rPr>
          <w:sz w:val="22"/>
          <w:szCs w:val="22"/>
        </w:rPr>
        <w:t xml:space="preserve"> nature as a whole </w:t>
      </w:r>
      <w:r>
        <w:rPr>
          <w:sz w:val="22"/>
          <w:szCs w:val="22"/>
        </w:rPr>
        <w:t xml:space="preserve">provide to our </w:t>
      </w:r>
      <w:r w:rsidR="0006226F">
        <w:rPr>
          <w:sz w:val="22"/>
          <w:szCs w:val="22"/>
        </w:rPr>
        <w:t xml:space="preserve">subjective </w:t>
      </w:r>
      <w:r>
        <w:rPr>
          <w:sz w:val="22"/>
          <w:szCs w:val="22"/>
        </w:rPr>
        <w:t xml:space="preserve">effort to discover </w:t>
      </w:r>
      <w:r w:rsidR="00EE41A1">
        <w:rPr>
          <w:sz w:val="22"/>
          <w:szCs w:val="22"/>
        </w:rPr>
        <w:t>final causality</w:t>
      </w:r>
      <w:r>
        <w:rPr>
          <w:sz w:val="22"/>
          <w:szCs w:val="22"/>
        </w:rPr>
        <w:t xml:space="preserve">, without offering any </w:t>
      </w:r>
      <w:r w:rsidR="00DE3B0C">
        <w:rPr>
          <w:sz w:val="22"/>
          <w:szCs w:val="22"/>
        </w:rPr>
        <w:t>proof</w:t>
      </w:r>
      <w:r>
        <w:rPr>
          <w:sz w:val="22"/>
          <w:szCs w:val="22"/>
        </w:rPr>
        <w:t xml:space="preserve"> of the presence of underlying </w:t>
      </w:r>
      <w:r w:rsidR="00BC02F8">
        <w:rPr>
          <w:sz w:val="22"/>
          <w:szCs w:val="22"/>
        </w:rPr>
        <w:t>representational</w:t>
      </w:r>
      <w:r>
        <w:rPr>
          <w:sz w:val="22"/>
          <w:szCs w:val="22"/>
        </w:rPr>
        <w:t xml:space="preserve"> purposes</w:t>
      </w:r>
      <w:r w:rsidR="0006226F">
        <w:rPr>
          <w:sz w:val="22"/>
          <w:szCs w:val="22"/>
        </w:rPr>
        <w:t xml:space="preserve"> in the object</w:t>
      </w:r>
      <w:r>
        <w:rPr>
          <w:sz w:val="22"/>
          <w:szCs w:val="22"/>
        </w:rPr>
        <w:t xml:space="preserve">. One can think organization without purpose (though </w:t>
      </w:r>
      <w:r w:rsidR="00544BCC">
        <w:rPr>
          <w:sz w:val="22"/>
          <w:szCs w:val="22"/>
        </w:rPr>
        <w:t>this would not form such a sharp distinction with what Bennett calls trajectory or drive)</w:t>
      </w:r>
      <w:r>
        <w:rPr>
          <w:sz w:val="22"/>
          <w:szCs w:val="22"/>
        </w:rPr>
        <w:t xml:space="preserve">, but it is unclear, if one </w:t>
      </w:r>
      <w:r w:rsidR="00544BCC">
        <w:rPr>
          <w:sz w:val="22"/>
          <w:szCs w:val="22"/>
        </w:rPr>
        <w:t xml:space="preserve">eliminates </w:t>
      </w:r>
      <w:r w:rsidR="00544BCC">
        <w:rPr>
          <w:i/>
          <w:sz w:val="22"/>
          <w:szCs w:val="22"/>
        </w:rPr>
        <w:t>purposiveness</w:t>
      </w:r>
      <w:r w:rsidR="00544BCC">
        <w:rPr>
          <w:sz w:val="22"/>
          <w:szCs w:val="22"/>
        </w:rPr>
        <w:t>, on what grounds one identifies vitality at all.</w:t>
      </w:r>
      <w:r w:rsidR="00C00AF8">
        <w:rPr>
          <w:sz w:val="22"/>
          <w:szCs w:val="22"/>
        </w:rPr>
        <w:t xml:space="preserve"> See </w:t>
      </w:r>
      <w:r w:rsidR="00C00AF8">
        <w:rPr>
          <w:i/>
          <w:sz w:val="22"/>
          <w:szCs w:val="22"/>
        </w:rPr>
        <w:t>Critique of Judgment</w:t>
      </w:r>
      <w:r w:rsidR="00434077">
        <w:rPr>
          <w:i/>
          <w:sz w:val="22"/>
          <w:szCs w:val="22"/>
        </w:rPr>
        <w:t xml:space="preserve">, </w:t>
      </w:r>
      <w:r w:rsidR="00434077">
        <w:rPr>
          <w:iCs/>
          <w:sz w:val="22"/>
          <w:szCs w:val="22"/>
        </w:rPr>
        <w:t>Intro.</w:t>
      </w:r>
      <w:r w:rsidR="00C00AF8">
        <w:rPr>
          <w:sz w:val="22"/>
          <w:szCs w:val="22"/>
        </w:rPr>
        <w:t xml:space="preserve"> </w:t>
      </w:r>
      <w:r w:rsidR="00553294">
        <w:rPr>
          <w:sz w:val="22"/>
          <w:szCs w:val="22"/>
        </w:rPr>
        <w:t>IV</w:t>
      </w:r>
      <w:r w:rsidR="00434077">
        <w:rPr>
          <w:sz w:val="22"/>
          <w:szCs w:val="22"/>
        </w:rPr>
        <w:t xml:space="preserve"> and</w:t>
      </w:r>
      <w:r w:rsidR="00553294">
        <w:rPr>
          <w:sz w:val="22"/>
          <w:szCs w:val="22"/>
        </w:rPr>
        <w:t xml:space="preserve"> </w:t>
      </w:r>
      <w:r w:rsidR="00C00AF8" w:rsidRPr="00C00AF8">
        <w:rPr>
          <w:rFonts w:eastAsia="Times New Roman"/>
          <w:bCs/>
          <w:color w:val="222222"/>
          <w:sz w:val="22"/>
          <w:szCs w:val="22"/>
          <w:bdr w:val="none" w:sz="0" w:space="0" w:color="auto"/>
        </w:rPr>
        <w:t>§</w:t>
      </w:r>
      <w:r w:rsidR="00C00AF8">
        <w:rPr>
          <w:rFonts w:eastAsia="Times New Roman"/>
          <w:bCs/>
          <w:color w:val="222222"/>
          <w:sz w:val="22"/>
          <w:szCs w:val="22"/>
          <w:bdr w:val="none" w:sz="0" w:space="0" w:color="auto"/>
        </w:rPr>
        <w:t>61.</w:t>
      </w:r>
    </w:p>
  </w:endnote>
  <w:endnote w:id="20">
    <w:p w14:paraId="16E0C651" w14:textId="77777777" w:rsidR="007B419C" w:rsidRDefault="007B419C">
      <w:pPr>
        <w:pStyle w:val="Footnote"/>
      </w:pPr>
      <w:r>
        <w:rPr>
          <w:rFonts w:ascii="Times New Roman" w:eastAsia="Times New Roman" w:hAnsi="Times New Roman" w:cs="Times New Roman"/>
          <w:vertAlign w:val="superscript"/>
        </w:rPr>
        <w:endnoteRef/>
      </w:r>
      <w:r>
        <w:rPr>
          <w:rFonts w:ascii="Times New Roman" w:hAnsi="Times New Roman"/>
        </w:rPr>
        <w:t xml:space="preserve"> Jacques Lezra is equally critical of this “anthropomorphisation” in his “Uncountable Matter.” On the stubborn persistence of teleology in biology and philosophy, and for an attempt to think it deconstructively in its relation to life, see Francesco Vitale’s “‘With or Without You…’”</w:t>
      </w:r>
    </w:p>
  </w:endnote>
  <w:endnote w:id="21">
    <w:p w14:paraId="5D8164B0" w14:textId="5EF2F427" w:rsidR="00EE651C" w:rsidRPr="00EE651C" w:rsidRDefault="00EE651C" w:rsidP="00EE651C">
      <w:pPr>
        <w:pStyle w:val="BodyA"/>
        <w:spacing w:line="240" w:lineRule="auto"/>
        <w:rPr>
          <w:rFonts w:cs="Times New Roman"/>
          <w:sz w:val="22"/>
          <w:szCs w:val="22"/>
        </w:rPr>
      </w:pPr>
      <w:r w:rsidRPr="00EE651C">
        <w:rPr>
          <w:rStyle w:val="EndnoteReference"/>
          <w:sz w:val="22"/>
          <w:szCs w:val="22"/>
        </w:rPr>
        <w:endnoteRef/>
      </w:r>
      <w:r w:rsidRPr="00EE651C">
        <w:rPr>
          <w:sz w:val="22"/>
          <w:szCs w:val="22"/>
        </w:rPr>
        <w:t xml:space="preserve"> </w:t>
      </w:r>
      <w:r w:rsidRPr="00EE651C">
        <w:rPr>
          <w:rFonts w:cs="Times New Roman"/>
          <w:sz w:val="22"/>
          <w:szCs w:val="22"/>
        </w:rPr>
        <w:t xml:space="preserve">Washick and Wingrove criticize the isolating subjectivity of the modified “Nicene Creed” that concludes </w:t>
      </w:r>
      <w:r w:rsidRPr="00EE651C">
        <w:rPr>
          <w:rFonts w:cs="Times New Roman"/>
          <w:i/>
          <w:sz w:val="22"/>
          <w:szCs w:val="22"/>
        </w:rPr>
        <w:t>Vibrant Matter</w:t>
      </w:r>
      <w:r w:rsidRPr="00EE651C">
        <w:rPr>
          <w:rFonts w:cs="Times New Roman"/>
          <w:sz w:val="22"/>
          <w:szCs w:val="22"/>
        </w:rPr>
        <w:t xml:space="preserve">, “I believe in one matter-energy […] I believe […] I believe” (Washick and Wingrove 76). This pledge of faith shows how little Bennett’s thought has challenged the ontotheological subject. It exists in isolation from the world, making a private, internal decision as to how matter should or should not be recognized. While Washick and Wingrove point out that Bennett has even singularized the Christian Creed’s first-person-plural, Bennett counters that “such litanies are performed aloud in groups” and thus that she was imagining an “action-in-concert” (“Ontology” 84-5). But even an intersubjective pledge of faith </w:t>
      </w:r>
      <w:r>
        <w:rPr>
          <w:rFonts w:cs="Times New Roman"/>
          <w:sz w:val="22"/>
          <w:szCs w:val="22"/>
        </w:rPr>
        <w:t>remains within</w:t>
      </w:r>
      <w:r w:rsidRPr="00EE651C">
        <w:rPr>
          <w:rFonts w:cs="Times New Roman"/>
          <w:sz w:val="22"/>
          <w:szCs w:val="22"/>
        </w:rPr>
        <w:t xml:space="preserve"> the isolated, worldless thought of immaterial consciousness.</w:t>
      </w:r>
    </w:p>
  </w:endnote>
  <w:endnote w:id="22">
    <w:p w14:paraId="1A56282D" w14:textId="40B55E6F" w:rsidR="0092144D" w:rsidRPr="0092144D" w:rsidRDefault="0092144D" w:rsidP="0092144D">
      <w:pPr>
        <w:pStyle w:val="BodyA"/>
        <w:spacing w:line="240" w:lineRule="auto"/>
        <w:rPr>
          <w:rFonts w:cs="Times New Roman"/>
          <w:sz w:val="22"/>
          <w:szCs w:val="22"/>
        </w:rPr>
      </w:pPr>
      <w:r>
        <w:rPr>
          <w:rStyle w:val="EndnoteReference"/>
        </w:rPr>
        <w:endnoteRef/>
      </w:r>
      <w:r>
        <w:t xml:space="preserve"> </w:t>
      </w:r>
      <w:r w:rsidRPr="0092144D">
        <w:rPr>
          <w:rFonts w:cs="Times New Roman"/>
          <w:sz w:val="22"/>
          <w:szCs w:val="22"/>
        </w:rPr>
        <w:t xml:space="preserve">The notion of sympathy that Bennett has developed in recent work is an attempt to respond to these lingering tensions from </w:t>
      </w:r>
      <w:r w:rsidRPr="0092144D">
        <w:rPr>
          <w:rFonts w:cs="Times New Roman"/>
          <w:i/>
          <w:sz w:val="22"/>
          <w:szCs w:val="22"/>
        </w:rPr>
        <w:t xml:space="preserve">Vibrant Matter </w:t>
      </w:r>
      <w:r w:rsidRPr="0092144D">
        <w:rPr>
          <w:rFonts w:cs="Times New Roman"/>
          <w:sz w:val="22"/>
          <w:szCs w:val="22"/>
        </w:rPr>
        <w:t>(“Material Sympathies,” “Whitman’s Sympathies”). How do we recognize the agency of matter without absolving ourselves of responsibility? Can we recognize our participation and influence in larger assemblages without reducing ourselves to an isolated subjectivity or invoking the too-cultural discourse of structures? Sympathy attempts to thread these needles by producing a hybrid sort of influence: matter or nature can have a pre-subjective influence on us, that ultimately results in our more sympathetic engagement with that nature. Apart from the many questions we could pose with respect to this form of influence (isn’t difference, dissimilarity, dissension also a fundamental force of nature?), I will note only that it maintains the separation of matter from a metaphysical</w:t>
      </w:r>
      <w:r>
        <w:rPr>
          <w:rFonts w:cs="Times New Roman"/>
          <w:sz w:val="22"/>
          <w:szCs w:val="22"/>
        </w:rPr>
        <w:t>, human</w:t>
      </w:r>
      <w:r w:rsidRPr="0092144D">
        <w:rPr>
          <w:rFonts w:cs="Times New Roman"/>
          <w:sz w:val="22"/>
          <w:szCs w:val="22"/>
        </w:rPr>
        <w:t xml:space="preserve"> subject, which is what provokes this search for a bridge between them.</w:t>
      </w:r>
    </w:p>
  </w:endnote>
  <w:endnote w:id="23">
    <w:p w14:paraId="5EC1E6AF" w14:textId="23CF9370" w:rsidR="00712ADA" w:rsidRPr="009F41FD" w:rsidRDefault="00712ADA" w:rsidP="00712ADA">
      <w:pPr>
        <w:pStyle w:val="Footnote"/>
      </w:pPr>
      <w:r>
        <w:rPr>
          <w:rFonts w:ascii="Times New Roman" w:eastAsia="Times New Roman" w:hAnsi="Times New Roman" w:cs="Times New Roman"/>
          <w:vertAlign w:val="superscript"/>
        </w:rPr>
        <w:endnoteRef/>
      </w:r>
      <w:r>
        <w:rPr>
          <w:rFonts w:ascii="Times New Roman" w:hAnsi="Times New Roman"/>
        </w:rPr>
        <w:t xml:space="preserve"> Recall that Plato in the </w:t>
      </w:r>
      <w:r>
        <w:rPr>
          <w:rFonts w:ascii="Times New Roman" w:hAnsi="Times New Roman"/>
          <w:i/>
          <w:iCs/>
        </w:rPr>
        <w:t>Timaeus</w:t>
      </w:r>
      <w:r>
        <w:rPr>
          <w:rFonts w:ascii="Times New Roman" w:hAnsi="Times New Roman"/>
        </w:rPr>
        <w:t xml:space="preserve"> </w:t>
      </w:r>
      <w:r w:rsidR="009F41FD">
        <w:rPr>
          <w:rFonts w:ascii="Times New Roman" w:hAnsi="Times New Roman"/>
        </w:rPr>
        <w:t>invoked the vitality of the cosmos</w:t>
      </w:r>
      <w:r>
        <w:rPr>
          <w:rFonts w:ascii="Times New Roman" w:hAnsi="Times New Roman"/>
        </w:rPr>
        <w:t xml:space="preserve"> to suggest that </w:t>
      </w:r>
      <w:r w:rsidR="009F41FD">
        <w:rPr>
          <w:rFonts w:ascii="Times New Roman" w:hAnsi="Times New Roman"/>
        </w:rPr>
        <w:t>it</w:t>
      </w:r>
      <w:r>
        <w:rPr>
          <w:rFonts w:ascii="Times New Roman" w:hAnsi="Times New Roman"/>
        </w:rPr>
        <w:t xml:space="preserve"> had no outside, that its only difference was internal and auto-affective, </w:t>
      </w:r>
      <w:r w:rsidR="00776C0A">
        <w:rPr>
          <w:rFonts w:ascii="Times New Roman" w:hAnsi="Times New Roman"/>
        </w:rPr>
        <w:t>feeding only on the waste it produced</w:t>
      </w:r>
      <w:r>
        <w:rPr>
          <w:rFonts w:ascii="Times New Roman" w:hAnsi="Times New Roman"/>
        </w:rPr>
        <w:t xml:space="preserve"> (33c).</w:t>
      </w:r>
      <w:r w:rsidR="009F41FD">
        <w:rPr>
          <w:rFonts w:ascii="Times New Roman" w:hAnsi="Times New Roman"/>
        </w:rPr>
        <w:t xml:space="preserve"> On God as a living thing, see Aristotle’s </w:t>
      </w:r>
      <w:r w:rsidR="009F41FD" w:rsidRPr="009F41FD">
        <w:rPr>
          <w:rFonts w:ascii="Times New Roman" w:hAnsi="Times New Roman"/>
          <w:i/>
        </w:rPr>
        <w:t>Metaphysics</w:t>
      </w:r>
      <w:r w:rsidR="009F41FD">
        <w:rPr>
          <w:rFonts w:ascii="Times New Roman" w:hAnsi="Times New Roman"/>
        </w:rPr>
        <w:t>, Book XII, 1072b.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2802" w14:textId="77777777" w:rsidR="007B419C" w:rsidRDefault="007B419C">
    <w:pPr>
      <w:pStyle w:val="HeaderFooterA"/>
      <w:tabs>
        <w:tab w:val="clear" w:pos="9020"/>
        <w:tab w:val="center" w:pos="4680"/>
        <w:tab w:val="right" w:pos="9340"/>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6FEC2" w14:textId="77777777" w:rsidR="00BB051B" w:rsidRDefault="00BB051B">
      <w:r>
        <w:separator/>
      </w:r>
    </w:p>
  </w:footnote>
  <w:footnote w:type="continuationSeparator" w:id="0">
    <w:p w14:paraId="4E60582C" w14:textId="77777777" w:rsidR="00BB051B" w:rsidRDefault="00BB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CA0A" w14:textId="77777777" w:rsidR="007B419C" w:rsidRDefault="007B41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D45"/>
    <w:multiLevelType w:val="hybridMultilevel"/>
    <w:tmpl w:val="79FE9B4A"/>
    <w:numStyleLink w:val="Lettered"/>
  </w:abstractNum>
  <w:abstractNum w:abstractNumId="1" w15:restartNumberingAfterBreak="0">
    <w:nsid w:val="7F8439B3"/>
    <w:multiLevelType w:val="hybridMultilevel"/>
    <w:tmpl w:val="79FE9B4A"/>
    <w:styleLink w:val="Lettered"/>
    <w:lvl w:ilvl="0" w:tplc="E6E0A2DA">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362770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F6E75CA">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17800B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49C520A">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2CC888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F6CEEB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8E023F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C705F5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D3"/>
    <w:rsid w:val="000012BD"/>
    <w:rsid w:val="00011C29"/>
    <w:rsid w:val="00023D43"/>
    <w:rsid w:val="00045615"/>
    <w:rsid w:val="00055ADE"/>
    <w:rsid w:val="00055E7F"/>
    <w:rsid w:val="00056E14"/>
    <w:rsid w:val="00057DB9"/>
    <w:rsid w:val="0006226F"/>
    <w:rsid w:val="00072105"/>
    <w:rsid w:val="000747A3"/>
    <w:rsid w:val="00080BCE"/>
    <w:rsid w:val="00090368"/>
    <w:rsid w:val="0009104C"/>
    <w:rsid w:val="00097EC9"/>
    <w:rsid w:val="000A02A3"/>
    <w:rsid w:val="000A138E"/>
    <w:rsid w:val="000A6041"/>
    <w:rsid w:val="000A610E"/>
    <w:rsid w:val="000B0E40"/>
    <w:rsid w:val="000B171C"/>
    <w:rsid w:val="000B1B5B"/>
    <w:rsid w:val="000C08C5"/>
    <w:rsid w:val="000C5A03"/>
    <w:rsid w:val="000C64AD"/>
    <w:rsid w:val="000C6996"/>
    <w:rsid w:val="000C6F7F"/>
    <w:rsid w:val="000D1C16"/>
    <w:rsid w:val="000D1F13"/>
    <w:rsid w:val="000E2ED8"/>
    <w:rsid w:val="000F054E"/>
    <w:rsid w:val="00104F83"/>
    <w:rsid w:val="00114019"/>
    <w:rsid w:val="001151C8"/>
    <w:rsid w:val="00115CDC"/>
    <w:rsid w:val="00116F44"/>
    <w:rsid w:val="00125515"/>
    <w:rsid w:val="00125673"/>
    <w:rsid w:val="001312CF"/>
    <w:rsid w:val="00137481"/>
    <w:rsid w:val="00146E48"/>
    <w:rsid w:val="0014754E"/>
    <w:rsid w:val="001477A8"/>
    <w:rsid w:val="0018175B"/>
    <w:rsid w:val="00184544"/>
    <w:rsid w:val="001846E6"/>
    <w:rsid w:val="00184B8F"/>
    <w:rsid w:val="00186636"/>
    <w:rsid w:val="00190D71"/>
    <w:rsid w:val="0019746A"/>
    <w:rsid w:val="001A1D41"/>
    <w:rsid w:val="001B41B3"/>
    <w:rsid w:val="001B5129"/>
    <w:rsid w:val="001B5673"/>
    <w:rsid w:val="001D230A"/>
    <w:rsid w:val="001D2992"/>
    <w:rsid w:val="00201B33"/>
    <w:rsid w:val="002032B8"/>
    <w:rsid w:val="00205216"/>
    <w:rsid w:val="00206698"/>
    <w:rsid w:val="002073BD"/>
    <w:rsid w:val="002129F7"/>
    <w:rsid w:val="002331D9"/>
    <w:rsid w:val="002359D0"/>
    <w:rsid w:val="00242034"/>
    <w:rsid w:val="0024524E"/>
    <w:rsid w:val="00254472"/>
    <w:rsid w:val="0025655E"/>
    <w:rsid w:val="00257706"/>
    <w:rsid w:val="00264045"/>
    <w:rsid w:val="0026766E"/>
    <w:rsid w:val="0027722C"/>
    <w:rsid w:val="00287CB0"/>
    <w:rsid w:val="00290E0F"/>
    <w:rsid w:val="00292878"/>
    <w:rsid w:val="002A4574"/>
    <w:rsid w:val="002B5974"/>
    <w:rsid w:val="002C1EAE"/>
    <w:rsid w:val="002E1B61"/>
    <w:rsid w:val="0030129C"/>
    <w:rsid w:val="00301B9B"/>
    <w:rsid w:val="00322A00"/>
    <w:rsid w:val="003372F9"/>
    <w:rsid w:val="00340542"/>
    <w:rsid w:val="00341311"/>
    <w:rsid w:val="00347B4F"/>
    <w:rsid w:val="00353248"/>
    <w:rsid w:val="00353724"/>
    <w:rsid w:val="0035736F"/>
    <w:rsid w:val="003600B8"/>
    <w:rsid w:val="003636A4"/>
    <w:rsid w:val="00364E92"/>
    <w:rsid w:val="003669D4"/>
    <w:rsid w:val="00367BF7"/>
    <w:rsid w:val="00372DE5"/>
    <w:rsid w:val="003752F8"/>
    <w:rsid w:val="00376F86"/>
    <w:rsid w:val="0038118F"/>
    <w:rsid w:val="003811C5"/>
    <w:rsid w:val="003A0E2D"/>
    <w:rsid w:val="003A57FC"/>
    <w:rsid w:val="003D4F4A"/>
    <w:rsid w:val="003D5662"/>
    <w:rsid w:val="003E5752"/>
    <w:rsid w:val="003F1E4E"/>
    <w:rsid w:val="003F5087"/>
    <w:rsid w:val="003F54D5"/>
    <w:rsid w:val="003F5E41"/>
    <w:rsid w:val="00402F8A"/>
    <w:rsid w:val="00413FAD"/>
    <w:rsid w:val="0041725F"/>
    <w:rsid w:val="00426C62"/>
    <w:rsid w:val="00431BE2"/>
    <w:rsid w:val="00434077"/>
    <w:rsid w:val="00434AAA"/>
    <w:rsid w:val="00437B88"/>
    <w:rsid w:val="00445A53"/>
    <w:rsid w:val="00447604"/>
    <w:rsid w:val="00450C90"/>
    <w:rsid w:val="00451CBB"/>
    <w:rsid w:val="004522B6"/>
    <w:rsid w:val="004666A6"/>
    <w:rsid w:val="00473EAC"/>
    <w:rsid w:val="00480530"/>
    <w:rsid w:val="004824AA"/>
    <w:rsid w:val="004856F5"/>
    <w:rsid w:val="004A44BE"/>
    <w:rsid w:val="004A4E0E"/>
    <w:rsid w:val="004A7C05"/>
    <w:rsid w:val="004B1A3D"/>
    <w:rsid w:val="004B4DEA"/>
    <w:rsid w:val="004B695F"/>
    <w:rsid w:val="004C0176"/>
    <w:rsid w:val="004C25CB"/>
    <w:rsid w:val="004C41FA"/>
    <w:rsid w:val="004D212D"/>
    <w:rsid w:val="004E0875"/>
    <w:rsid w:val="004E43B2"/>
    <w:rsid w:val="004E7551"/>
    <w:rsid w:val="004F052A"/>
    <w:rsid w:val="00510FEF"/>
    <w:rsid w:val="00523944"/>
    <w:rsid w:val="0052627F"/>
    <w:rsid w:val="00533C70"/>
    <w:rsid w:val="00537BD6"/>
    <w:rsid w:val="00544BCC"/>
    <w:rsid w:val="00553294"/>
    <w:rsid w:val="00555389"/>
    <w:rsid w:val="005555C9"/>
    <w:rsid w:val="005602C7"/>
    <w:rsid w:val="00560A63"/>
    <w:rsid w:val="00570024"/>
    <w:rsid w:val="0057218C"/>
    <w:rsid w:val="00581EBA"/>
    <w:rsid w:val="00590E71"/>
    <w:rsid w:val="005911F2"/>
    <w:rsid w:val="00594EB7"/>
    <w:rsid w:val="005A023F"/>
    <w:rsid w:val="005C45CB"/>
    <w:rsid w:val="005C5711"/>
    <w:rsid w:val="005D26FE"/>
    <w:rsid w:val="005D558C"/>
    <w:rsid w:val="005D73D1"/>
    <w:rsid w:val="005E468C"/>
    <w:rsid w:val="005E51E7"/>
    <w:rsid w:val="005F053B"/>
    <w:rsid w:val="005F156C"/>
    <w:rsid w:val="005F2EED"/>
    <w:rsid w:val="005F58B5"/>
    <w:rsid w:val="0062096D"/>
    <w:rsid w:val="00622893"/>
    <w:rsid w:val="006238AE"/>
    <w:rsid w:val="00624435"/>
    <w:rsid w:val="00631009"/>
    <w:rsid w:val="00634BF8"/>
    <w:rsid w:val="00643566"/>
    <w:rsid w:val="00651D50"/>
    <w:rsid w:val="00654A91"/>
    <w:rsid w:val="0066217D"/>
    <w:rsid w:val="00664C22"/>
    <w:rsid w:val="006668CA"/>
    <w:rsid w:val="00673675"/>
    <w:rsid w:val="006748A7"/>
    <w:rsid w:val="00680A33"/>
    <w:rsid w:val="00681083"/>
    <w:rsid w:val="00682B8B"/>
    <w:rsid w:val="0069226C"/>
    <w:rsid w:val="006A0F29"/>
    <w:rsid w:val="006A3203"/>
    <w:rsid w:val="006B3ADB"/>
    <w:rsid w:val="006B7E2A"/>
    <w:rsid w:val="006C21FF"/>
    <w:rsid w:val="006C7235"/>
    <w:rsid w:val="006D4592"/>
    <w:rsid w:val="006D49C7"/>
    <w:rsid w:val="006E0D01"/>
    <w:rsid w:val="006E4590"/>
    <w:rsid w:val="006E7217"/>
    <w:rsid w:val="006F5CDC"/>
    <w:rsid w:val="00711C42"/>
    <w:rsid w:val="00711E74"/>
    <w:rsid w:val="00712ADA"/>
    <w:rsid w:val="00715928"/>
    <w:rsid w:val="0072087C"/>
    <w:rsid w:val="00720EBD"/>
    <w:rsid w:val="0072729C"/>
    <w:rsid w:val="00731E6E"/>
    <w:rsid w:val="007350AE"/>
    <w:rsid w:val="00737B90"/>
    <w:rsid w:val="007449DA"/>
    <w:rsid w:val="007464FC"/>
    <w:rsid w:val="0074763B"/>
    <w:rsid w:val="0075420D"/>
    <w:rsid w:val="0076013A"/>
    <w:rsid w:val="00761F97"/>
    <w:rsid w:val="0076403B"/>
    <w:rsid w:val="00764CA6"/>
    <w:rsid w:val="00767E57"/>
    <w:rsid w:val="00771EAA"/>
    <w:rsid w:val="00772F88"/>
    <w:rsid w:val="007754E3"/>
    <w:rsid w:val="0077613D"/>
    <w:rsid w:val="00776C0A"/>
    <w:rsid w:val="00781762"/>
    <w:rsid w:val="007820EA"/>
    <w:rsid w:val="007851BF"/>
    <w:rsid w:val="007904F0"/>
    <w:rsid w:val="00796B55"/>
    <w:rsid w:val="007A2499"/>
    <w:rsid w:val="007A69D9"/>
    <w:rsid w:val="007B419C"/>
    <w:rsid w:val="007C46B8"/>
    <w:rsid w:val="007D46DD"/>
    <w:rsid w:val="007D4BF9"/>
    <w:rsid w:val="007D7C03"/>
    <w:rsid w:val="007E2290"/>
    <w:rsid w:val="007E3FD5"/>
    <w:rsid w:val="007F48AA"/>
    <w:rsid w:val="007F4B8D"/>
    <w:rsid w:val="007F5636"/>
    <w:rsid w:val="007F7274"/>
    <w:rsid w:val="008225B1"/>
    <w:rsid w:val="00826E8A"/>
    <w:rsid w:val="00832C93"/>
    <w:rsid w:val="00833FEC"/>
    <w:rsid w:val="00846615"/>
    <w:rsid w:val="008470C6"/>
    <w:rsid w:val="0085576A"/>
    <w:rsid w:val="00856F66"/>
    <w:rsid w:val="008571D4"/>
    <w:rsid w:val="00866C9B"/>
    <w:rsid w:val="00872EFD"/>
    <w:rsid w:val="00874A39"/>
    <w:rsid w:val="008759C8"/>
    <w:rsid w:val="00896ED9"/>
    <w:rsid w:val="00897DBB"/>
    <w:rsid w:val="008A42B6"/>
    <w:rsid w:val="008A4916"/>
    <w:rsid w:val="008A7636"/>
    <w:rsid w:val="008B03C5"/>
    <w:rsid w:val="008B68BD"/>
    <w:rsid w:val="008C2193"/>
    <w:rsid w:val="008C49EA"/>
    <w:rsid w:val="008C5A83"/>
    <w:rsid w:val="008C6169"/>
    <w:rsid w:val="008D423A"/>
    <w:rsid w:val="008E0880"/>
    <w:rsid w:val="008E1AEF"/>
    <w:rsid w:val="008E1B46"/>
    <w:rsid w:val="008F2A7C"/>
    <w:rsid w:val="008F3BD0"/>
    <w:rsid w:val="008F730C"/>
    <w:rsid w:val="009004E0"/>
    <w:rsid w:val="00901C93"/>
    <w:rsid w:val="0092144D"/>
    <w:rsid w:val="00926249"/>
    <w:rsid w:val="009452F6"/>
    <w:rsid w:val="009455BC"/>
    <w:rsid w:val="009525F6"/>
    <w:rsid w:val="00954A96"/>
    <w:rsid w:val="00955417"/>
    <w:rsid w:val="00956A93"/>
    <w:rsid w:val="00962370"/>
    <w:rsid w:val="00967A12"/>
    <w:rsid w:val="00970D8E"/>
    <w:rsid w:val="00976601"/>
    <w:rsid w:val="009817B2"/>
    <w:rsid w:val="00981EAF"/>
    <w:rsid w:val="00992B4B"/>
    <w:rsid w:val="009A090B"/>
    <w:rsid w:val="009A34E3"/>
    <w:rsid w:val="009A789D"/>
    <w:rsid w:val="009B0961"/>
    <w:rsid w:val="009B46DA"/>
    <w:rsid w:val="009B7D89"/>
    <w:rsid w:val="009C5329"/>
    <w:rsid w:val="009D1F30"/>
    <w:rsid w:val="009D26EE"/>
    <w:rsid w:val="009D2826"/>
    <w:rsid w:val="009D62F5"/>
    <w:rsid w:val="009D7A12"/>
    <w:rsid w:val="009E505B"/>
    <w:rsid w:val="009E709B"/>
    <w:rsid w:val="009F41FD"/>
    <w:rsid w:val="009F4FEB"/>
    <w:rsid w:val="009F508D"/>
    <w:rsid w:val="009F7F0F"/>
    <w:rsid w:val="00A00FE8"/>
    <w:rsid w:val="00A01D65"/>
    <w:rsid w:val="00A03DA9"/>
    <w:rsid w:val="00A06042"/>
    <w:rsid w:val="00A06BF5"/>
    <w:rsid w:val="00A152C2"/>
    <w:rsid w:val="00A34619"/>
    <w:rsid w:val="00A4397E"/>
    <w:rsid w:val="00A47381"/>
    <w:rsid w:val="00A50641"/>
    <w:rsid w:val="00A519C5"/>
    <w:rsid w:val="00A53A02"/>
    <w:rsid w:val="00A61986"/>
    <w:rsid w:val="00A65155"/>
    <w:rsid w:val="00A65D50"/>
    <w:rsid w:val="00A77788"/>
    <w:rsid w:val="00A81F5E"/>
    <w:rsid w:val="00A92A24"/>
    <w:rsid w:val="00A97C0A"/>
    <w:rsid w:val="00AA3A69"/>
    <w:rsid w:val="00AA3D73"/>
    <w:rsid w:val="00AA703E"/>
    <w:rsid w:val="00AB4FE7"/>
    <w:rsid w:val="00AC0C02"/>
    <w:rsid w:val="00AC6003"/>
    <w:rsid w:val="00AD233A"/>
    <w:rsid w:val="00AD4494"/>
    <w:rsid w:val="00AE0EF7"/>
    <w:rsid w:val="00AE2912"/>
    <w:rsid w:val="00AE2BA0"/>
    <w:rsid w:val="00AE2E71"/>
    <w:rsid w:val="00AE3218"/>
    <w:rsid w:val="00AE775C"/>
    <w:rsid w:val="00AF104D"/>
    <w:rsid w:val="00B04273"/>
    <w:rsid w:val="00B07CA6"/>
    <w:rsid w:val="00B139C9"/>
    <w:rsid w:val="00B24D2E"/>
    <w:rsid w:val="00B307D7"/>
    <w:rsid w:val="00B32610"/>
    <w:rsid w:val="00B35BA8"/>
    <w:rsid w:val="00B4353C"/>
    <w:rsid w:val="00B459AB"/>
    <w:rsid w:val="00B46A02"/>
    <w:rsid w:val="00B512B7"/>
    <w:rsid w:val="00B55875"/>
    <w:rsid w:val="00B570A4"/>
    <w:rsid w:val="00B63B2A"/>
    <w:rsid w:val="00B672F8"/>
    <w:rsid w:val="00B708A5"/>
    <w:rsid w:val="00B73692"/>
    <w:rsid w:val="00B73DC8"/>
    <w:rsid w:val="00B7536D"/>
    <w:rsid w:val="00B758C2"/>
    <w:rsid w:val="00B835A4"/>
    <w:rsid w:val="00B840B0"/>
    <w:rsid w:val="00B86435"/>
    <w:rsid w:val="00B872D8"/>
    <w:rsid w:val="00B909D7"/>
    <w:rsid w:val="00B92F6A"/>
    <w:rsid w:val="00BA78FF"/>
    <w:rsid w:val="00BB051B"/>
    <w:rsid w:val="00BB237C"/>
    <w:rsid w:val="00BC02F8"/>
    <w:rsid w:val="00BC61E5"/>
    <w:rsid w:val="00BD1F5D"/>
    <w:rsid w:val="00BE3C54"/>
    <w:rsid w:val="00BF3230"/>
    <w:rsid w:val="00BF3924"/>
    <w:rsid w:val="00C00AF8"/>
    <w:rsid w:val="00C00F0A"/>
    <w:rsid w:val="00C03A9C"/>
    <w:rsid w:val="00C13FEE"/>
    <w:rsid w:val="00C17A8D"/>
    <w:rsid w:val="00C266BB"/>
    <w:rsid w:val="00C36F8C"/>
    <w:rsid w:val="00C47739"/>
    <w:rsid w:val="00C507A5"/>
    <w:rsid w:val="00C52EF5"/>
    <w:rsid w:val="00C56B02"/>
    <w:rsid w:val="00C57C4F"/>
    <w:rsid w:val="00C64E4C"/>
    <w:rsid w:val="00C66E7D"/>
    <w:rsid w:val="00C77408"/>
    <w:rsid w:val="00C77AFE"/>
    <w:rsid w:val="00C80420"/>
    <w:rsid w:val="00C84055"/>
    <w:rsid w:val="00C860F3"/>
    <w:rsid w:val="00C86978"/>
    <w:rsid w:val="00C90DDE"/>
    <w:rsid w:val="00C90EF1"/>
    <w:rsid w:val="00C92E19"/>
    <w:rsid w:val="00C966BB"/>
    <w:rsid w:val="00CA3C1E"/>
    <w:rsid w:val="00CA4421"/>
    <w:rsid w:val="00CB09DA"/>
    <w:rsid w:val="00CB3BD5"/>
    <w:rsid w:val="00CB620F"/>
    <w:rsid w:val="00D01A44"/>
    <w:rsid w:val="00D01A55"/>
    <w:rsid w:val="00D0689E"/>
    <w:rsid w:val="00D225D8"/>
    <w:rsid w:val="00D26513"/>
    <w:rsid w:val="00D379A9"/>
    <w:rsid w:val="00D37DAE"/>
    <w:rsid w:val="00D41B66"/>
    <w:rsid w:val="00D421DE"/>
    <w:rsid w:val="00D459D9"/>
    <w:rsid w:val="00D52950"/>
    <w:rsid w:val="00D57EB3"/>
    <w:rsid w:val="00D64291"/>
    <w:rsid w:val="00D6551C"/>
    <w:rsid w:val="00D70980"/>
    <w:rsid w:val="00D711CA"/>
    <w:rsid w:val="00D73B2A"/>
    <w:rsid w:val="00D74CE4"/>
    <w:rsid w:val="00D770F5"/>
    <w:rsid w:val="00D82702"/>
    <w:rsid w:val="00D91A66"/>
    <w:rsid w:val="00D9426D"/>
    <w:rsid w:val="00D946A7"/>
    <w:rsid w:val="00DA1AE8"/>
    <w:rsid w:val="00DA26BF"/>
    <w:rsid w:val="00DA35CF"/>
    <w:rsid w:val="00DA3B1F"/>
    <w:rsid w:val="00DA56C4"/>
    <w:rsid w:val="00DB2881"/>
    <w:rsid w:val="00DB4740"/>
    <w:rsid w:val="00DB72F6"/>
    <w:rsid w:val="00DC131F"/>
    <w:rsid w:val="00DC1A17"/>
    <w:rsid w:val="00DC2071"/>
    <w:rsid w:val="00DC30C8"/>
    <w:rsid w:val="00DD08D4"/>
    <w:rsid w:val="00DD18C0"/>
    <w:rsid w:val="00DE190C"/>
    <w:rsid w:val="00DE3B0C"/>
    <w:rsid w:val="00DE4F90"/>
    <w:rsid w:val="00DE59A1"/>
    <w:rsid w:val="00DF044B"/>
    <w:rsid w:val="00E035F8"/>
    <w:rsid w:val="00E06A69"/>
    <w:rsid w:val="00E07669"/>
    <w:rsid w:val="00E1078D"/>
    <w:rsid w:val="00E11834"/>
    <w:rsid w:val="00E1771A"/>
    <w:rsid w:val="00E2312A"/>
    <w:rsid w:val="00E25B25"/>
    <w:rsid w:val="00E27103"/>
    <w:rsid w:val="00E3626C"/>
    <w:rsid w:val="00E41BC1"/>
    <w:rsid w:val="00E45928"/>
    <w:rsid w:val="00E54F98"/>
    <w:rsid w:val="00E55EC5"/>
    <w:rsid w:val="00E57734"/>
    <w:rsid w:val="00E62215"/>
    <w:rsid w:val="00E64D5B"/>
    <w:rsid w:val="00E74CF3"/>
    <w:rsid w:val="00E75A1F"/>
    <w:rsid w:val="00E80190"/>
    <w:rsid w:val="00E82F9B"/>
    <w:rsid w:val="00E86E96"/>
    <w:rsid w:val="00E92848"/>
    <w:rsid w:val="00E97C30"/>
    <w:rsid w:val="00EA07BD"/>
    <w:rsid w:val="00EA1040"/>
    <w:rsid w:val="00EA4EDE"/>
    <w:rsid w:val="00EB5DFE"/>
    <w:rsid w:val="00EC5BE5"/>
    <w:rsid w:val="00EE0966"/>
    <w:rsid w:val="00EE2159"/>
    <w:rsid w:val="00EE41A1"/>
    <w:rsid w:val="00EE50AE"/>
    <w:rsid w:val="00EE651C"/>
    <w:rsid w:val="00EF35F2"/>
    <w:rsid w:val="00EF65A4"/>
    <w:rsid w:val="00EF76A9"/>
    <w:rsid w:val="00F00124"/>
    <w:rsid w:val="00F0157A"/>
    <w:rsid w:val="00F01FEC"/>
    <w:rsid w:val="00F0559C"/>
    <w:rsid w:val="00F15EA3"/>
    <w:rsid w:val="00F20A45"/>
    <w:rsid w:val="00F215C4"/>
    <w:rsid w:val="00F23DA9"/>
    <w:rsid w:val="00F24906"/>
    <w:rsid w:val="00F250DA"/>
    <w:rsid w:val="00F30E87"/>
    <w:rsid w:val="00F33C6D"/>
    <w:rsid w:val="00F42D2E"/>
    <w:rsid w:val="00F5046A"/>
    <w:rsid w:val="00F61358"/>
    <w:rsid w:val="00F71978"/>
    <w:rsid w:val="00F963EE"/>
    <w:rsid w:val="00FA20A2"/>
    <w:rsid w:val="00FA30DD"/>
    <w:rsid w:val="00FA317E"/>
    <w:rsid w:val="00FA34B1"/>
    <w:rsid w:val="00FA7730"/>
    <w:rsid w:val="00FB1B37"/>
    <w:rsid w:val="00FB6933"/>
    <w:rsid w:val="00FC4A92"/>
    <w:rsid w:val="00FD237E"/>
    <w:rsid w:val="00FD3893"/>
    <w:rsid w:val="00FE3DD3"/>
    <w:rsid w:val="00FE3E41"/>
    <w:rsid w:val="00FE4AAF"/>
    <w:rsid w:val="00FE54B2"/>
    <w:rsid w:val="00FF0848"/>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31C4D"/>
  <w15:docId w15:val="{E1F40479-FCE4-F74E-969A-FF03C623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pPr>
      <w:spacing w:line="480" w:lineRule="auto"/>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quotation">
    <w:name w:val="_quotation"/>
    <w:pPr>
      <w:spacing w:line="480" w:lineRule="auto"/>
      <w:ind w:left="720"/>
    </w:pPr>
    <w:rPr>
      <w:rFonts w:cs="Arial Unicode MS"/>
      <w:color w:val="000000"/>
      <w:sz w:val="24"/>
      <w:szCs w:val="24"/>
      <w:u w:color="000000"/>
    </w:rPr>
  </w:style>
  <w:style w:type="numbering" w:customStyle="1" w:styleId="Lettered">
    <w:name w:val="Lettered"/>
    <w:pPr>
      <w:numPr>
        <w:numId w:val="1"/>
      </w:numPr>
    </w:pPr>
  </w:style>
  <w:style w:type="paragraph" w:customStyle="1" w:styleId="Footnote">
    <w:name w:val="Footnote"/>
    <w:rPr>
      <w:rFonts w:ascii="Helvetica" w:eastAsia="Helvetica" w:hAnsi="Helvetica" w:cs="Helvetica"/>
      <w:color w:val="000000"/>
      <w:sz w:val="22"/>
      <w:szCs w:val="22"/>
      <w:u w:color="000000"/>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3E5752"/>
    <w:rPr>
      <w:sz w:val="18"/>
      <w:szCs w:val="18"/>
    </w:rPr>
  </w:style>
  <w:style w:type="character" w:customStyle="1" w:styleId="BalloonTextChar">
    <w:name w:val="Balloon Text Char"/>
    <w:basedOn w:val="DefaultParagraphFont"/>
    <w:link w:val="BalloonText"/>
    <w:uiPriority w:val="99"/>
    <w:semiHidden/>
    <w:rsid w:val="003E5752"/>
    <w:rPr>
      <w:sz w:val="18"/>
      <w:szCs w:val="18"/>
    </w:rPr>
  </w:style>
  <w:style w:type="paragraph" w:styleId="EndnoteText">
    <w:name w:val="endnote text"/>
    <w:basedOn w:val="Normal"/>
    <w:link w:val="EndnoteTextChar"/>
    <w:uiPriority w:val="99"/>
    <w:unhideWhenUsed/>
    <w:rsid w:val="00570024"/>
    <w:rPr>
      <w:sz w:val="20"/>
      <w:szCs w:val="20"/>
    </w:rPr>
  </w:style>
  <w:style w:type="character" w:customStyle="1" w:styleId="EndnoteTextChar">
    <w:name w:val="Endnote Text Char"/>
    <w:basedOn w:val="DefaultParagraphFont"/>
    <w:link w:val="EndnoteText"/>
    <w:uiPriority w:val="99"/>
    <w:rsid w:val="00570024"/>
  </w:style>
  <w:style w:type="character" w:styleId="EndnoteReference">
    <w:name w:val="endnote reference"/>
    <w:basedOn w:val="DefaultParagraphFont"/>
    <w:uiPriority w:val="99"/>
    <w:semiHidden/>
    <w:unhideWhenUsed/>
    <w:rsid w:val="00570024"/>
    <w:rPr>
      <w:vertAlign w:val="superscript"/>
    </w:rPr>
  </w:style>
  <w:style w:type="paragraph" w:styleId="FootnoteText">
    <w:name w:val="footnote text"/>
    <w:basedOn w:val="Normal"/>
    <w:link w:val="FootnoteTextChar"/>
    <w:uiPriority w:val="99"/>
    <w:semiHidden/>
    <w:unhideWhenUsed/>
    <w:rsid w:val="002032B8"/>
    <w:rPr>
      <w:sz w:val="20"/>
      <w:szCs w:val="20"/>
    </w:rPr>
  </w:style>
  <w:style w:type="character" w:customStyle="1" w:styleId="FootnoteTextChar">
    <w:name w:val="Footnote Text Char"/>
    <w:basedOn w:val="DefaultParagraphFont"/>
    <w:link w:val="FootnoteText"/>
    <w:uiPriority w:val="99"/>
    <w:semiHidden/>
    <w:rsid w:val="002032B8"/>
  </w:style>
  <w:style w:type="character" w:styleId="FootnoteReference">
    <w:name w:val="footnote reference"/>
    <w:basedOn w:val="DefaultParagraphFont"/>
    <w:uiPriority w:val="99"/>
    <w:semiHidden/>
    <w:unhideWhenUsed/>
    <w:rsid w:val="002032B8"/>
    <w:rPr>
      <w:vertAlign w:val="superscript"/>
    </w:rPr>
  </w:style>
  <w:style w:type="character" w:styleId="CommentReference">
    <w:name w:val="annotation reference"/>
    <w:basedOn w:val="DefaultParagraphFont"/>
    <w:uiPriority w:val="99"/>
    <w:semiHidden/>
    <w:unhideWhenUsed/>
    <w:rsid w:val="00962370"/>
    <w:rPr>
      <w:sz w:val="16"/>
      <w:szCs w:val="16"/>
    </w:rPr>
  </w:style>
  <w:style w:type="paragraph" w:styleId="CommentText">
    <w:name w:val="annotation text"/>
    <w:basedOn w:val="Normal"/>
    <w:link w:val="CommentTextChar"/>
    <w:uiPriority w:val="99"/>
    <w:semiHidden/>
    <w:unhideWhenUsed/>
    <w:rsid w:val="00962370"/>
    <w:rPr>
      <w:sz w:val="20"/>
      <w:szCs w:val="20"/>
    </w:rPr>
  </w:style>
  <w:style w:type="character" w:customStyle="1" w:styleId="CommentTextChar">
    <w:name w:val="Comment Text Char"/>
    <w:basedOn w:val="DefaultParagraphFont"/>
    <w:link w:val="CommentText"/>
    <w:uiPriority w:val="99"/>
    <w:semiHidden/>
    <w:rsid w:val="00962370"/>
  </w:style>
  <w:style w:type="paragraph" w:styleId="CommentSubject">
    <w:name w:val="annotation subject"/>
    <w:basedOn w:val="CommentText"/>
    <w:next w:val="CommentText"/>
    <w:link w:val="CommentSubjectChar"/>
    <w:uiPriority w:val="99"/>
    <w:semiHidden/>
    <w:unhideWhenUsed/>
    <w:rsid w:val="00962370"/>
    <w:rPr>
      <w:b/>
      <w:bCs/>
    </w:rPr>
  </w:style>
  <w:style w:type="character" w:customStyle="1" w:styleId="CommentSubjectChar">
    <w:name w:val="Comment Subject Char"/>
    <w:basedOn w:val="CommentTextChar"/>
    <w:link w:val="CommentSubject"/>
    <w:uiPriority w:val="99"/>
    <w:semiHidden/>
    <w:rsid w:val="00962370"/>
    <w:rPr>
      <w:b/>
      <w:bCs/>
    </w:rPr>
  </w:style>
  <w:style w:type="character" w:styleId="UnresolvedMention">
    <w:name w:val="Unresolved Mention"/>
    <w:basedOn w:val="DefaultParagraphFont"/>
    <w:uiPriority w:val="99"/>
    <w:semiHidden/>
    <w:unhideWhenUsed/>
    <w:rsid w:val="00413FAD"/>
    <w:rPr>
      <w:color w:val="605E5C"/>
      <w:shd w:val="clear" w:color="auto" w:fill="E1DFDD"/>
    </w:rPr>
  </w:style>
  <w:style w:type="character" w:styleId="FollowedHyperlink">
    <w:name w:val="FollowedHyperlink"/>
    <w:basedOn w:val="DefaultParagraphFont"/>
    <w:uiPriority w:val="99"/>
    <w:semiHidden/>
    <w:unhideWhenUsed/>
    <w:rsid w:val="00413F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39541">
      <w:bodyDiv w:val="1"/>
      <w:marLeft w:val="0"/>
      <w:marRight w:val="0"/>
      <w:marTop w:val="0"/>
      <w:marBottom w:val="0"/>
      <w:divBdr>
        <w:top w:val="none" w:sz="0" w:space="0" w:color="auto"/>
        <w:left w:val="none" w:sz="0" w:space="0" w:color="auto"/>
        <w:bottom w:val="none" w:sz="0" w:space="0" w:color="auto"/>
        <w:right w:val="none" w:sz="0" w:space="0" w:color="auto"/>
      </w:divBdr>
      <w:divsChild>
        <w:div w:id="1136147898">
          <w:marLeft w:val="0"/>
          <w:marRight w:val="0"/>
          <w:marTop w:val="0"/>
          <w:marBottom w:val="0"/>
          <w:divBdr>
            <w:top w:val="none" w:sz="0" w:space="0" w:color="auto"/>
            <w:left w:val="none" w:sz="0" w:space="0" w:color="auto"/>
            <w:bottom w:val="none" w:sz="0" w:space="0" w:color="auto"/>
            <w:right w:val="none" w:sz="0" w:space="0" w:color="auto"/>
          </w:divBdr>
          <w:divsChild>
            <w:div w:id="1173184814">
              <w:marLeft w:val="0"/>
              <w:marRight w:val="0"/>
              <w:marTop w:val="0"/>
              <w:marBottom w:val="0"/>
              <w:divBdr>
                <w:top w:val="none" w:sz="0" w:space="0" w:color="auto"/>
                <w:left w:val="none" w:sz="0" w:space="0" w:color="auto"/>
                <w:bottom w:val="none" w:sz="0" w:space="0" w:color="auto"/>
                <w:right w:val="none" w:sz="0" w:space="0" w:color="auto"/>
              </w:divBdr>
              <w:divsChild>
                <w:div w:id="906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8769">
      <w:bodyDiv w:val="1"/>
      <w:marLeft w:val="0"/>
      <w:marRight w:val="0"/>
      <w:marTop w:val="0"/>
      <w:marBottom w:val="0"/>
      <w:divBdr>
        <w:top w:val="none" w:sz="0" w:space="0" w:color="auto"/>
        <w:left w:val="none" w:sz="0" w:space="0" w:color="auto"/>
        <w:bottom w:val="none" w:sz="0" w:space="0" w:color="auto"/>
        <w:right w:val="none" w:sz="0" w:space="0" w:color="auto"/>
      </w:divBdr>
    </w:div>
    <w:div w:id="1013146271">
      <w:bodyDiv w:val="1"/>
      <w:marLeft w:val="0"/>
      <w:marRight w:val="0"/>
      <w:marTop w:val="0"/>
      <w:marBottom w:val="0"/>
      <w:divBdr>
        <w:top w:val="none" w:sz="0" w:space="0" w:color="auto"/>
        <w:left w:val="none" w:sz="0" w:space="0" w:color="auto"/>
        <w:bottom w:val="none" w:sz="0" w:space="0" w:color="auto"/>
        <w:right w:val="none" w:sz="0" w:space="0" w:color="auto"/>
      </w:divBdr>
    </w:div>
    <w:div w:id="1569270582">
      <w:bodyDiv w:val="1"/>
      <w:marLeft w:val="0"/>
      <w:marRight w:val="0"/>
      <w:marTop w:val="0"/>
      <w:marBottom w:val="0"/>
      <w:divBdr>
        <w:top w:val="none" w:sz="0" w:space="0" w:color="auto"/>
        <w:left w:val="none" w:sz="0" w:space="0" w:color="auto"/>
        <w:bottom w:val="none" w:sz="0" w:space="0" w:color="auto"/>
        <w:right w:val="none" w:sz="0" w:space="0" w:color="auto"/>
      </w:divBdr>
    </w:div>
    <w:div w:id="157870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se.jhu.edu/article/731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28</Pages>
  <Words>7839</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Basile, Jonathan</cp:lastModifiedBy>
  <cp:revision>120</cp:revision>
  <dcterms:created xsi:type="dcterms:W3CDTF">2019-03-14T02:47:00Z</dcterms:created>
  <dcterms:modified xsi:type="dcterms:W3CDTF">2019-08-14T17:32:00Z</dcterms:modified>
</cp:coreProperties>
</file>