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C" w14:textId="2EAB80EB" w:rsidR="004F75A9" w:rsidRDefault="00000000">
      <w:pPr>
        <w:jc w:val="center"/>
        <w:rPr>
          <w:b/>
        </w:rPr>
      </w:pPr>
      <w:bookmarkStart w:id="0" w:name="_heading=h.gjdgxs" w:colFirst="0" w:colLast="0"/>
      <w:bookmarkEnd w:id="0"/>
      <w:r>
        <w:rPr>
          <w:b/>
        </w:rPr>
        <w:t>Will this too have been a Tree?</w:t>
      </w:r>
      <w:sdt>
        <w:sdtPr>
          <w:tag w:val="goog_rdk_0"/>
          <w:id w:val="765272253"/>
        </w:sdtPr>
        <w:sdtContent/>
      </w:sdt>
      <w:r w:rsidR="00741DC5">
        <w:rPr>
          <w:b/>
        </w:rPr>
        <w:t xml:space="preserve"> </w:t>
      </w:r>
      <w:r>
        <w:rPr>
          <w:b/>
        </w:rPr>
        <w:t>Biblical and Biological Trees of Life-Science</w:t>
      </w:r>
    </w:p>
    <w:p w14:paraId="0000000D" w14:textId="77777777" w:rsidR="004F75A9" w:rsidRDefault="004F75A9">
      <w:pPr>
        <w:rPr>
          <w:b/>
        </w:rPr>
      </w:pPr>
    </w:p>
    <w:p w14:paraId="0000000E" w14:textId="25D75058" w:rsidR="004F75A9" w:rsidRDefault="00000000">
      <w:r>
        <w:t>What biologists have called the Tree of Life, a</w:t>
      </w:r>
      <w:r w:rsidR="00880D0E">
        <w:t>n outline</w:t>
      </w:r>
      <w:r>
        <w:t xml:space="preserve"> of evolutionary history as the branching descent of species, can be taken as an instance of the instability of fundamental scientific concepts. The tree-structure is fundamental to the point of necessity; as I will explain, even those models that aspire or </w:t>
      </w:r>
      <w:sdt>
        <w:sdtPr>
          <w:tag w:val="goog_rdk_1"/>
          <w:id w:val="-738020329"/>
        </w:sdtPr>
        <w:sdtContent/>
      </w:sdt>
      <w:r w:rsidR="001E0A2B">
        <w:t>claim</w:t>
      </w:r>
      <w:r>
        <w:t xml:space="preserve"> to oppose it today, such as the web, network, or rhizome, unwittingly presuppose it. Despite this inevitability, or rather because of this non-oppositionality, the tree is an unstable foundation, whose displacements propagate through the histories and taxonomic concepts built upon it. This generalized non-self-identity, leaving science and its objects and subjects (life, life scientists) exposed to an unanticipatable future that overtakes unawares anything resembling positive knowledge, is what could be called the deconstruction of science. </w:t>
      </w:r>
    </w:p>
    <w:p w14:paraId="0000000F" w14:textId="7D8E2661" w:rsidR="004F75A9" w:rsidRDefault="00000000">
      <w:r>
        <w:tab/>
        <w:t xml:space="preserve">It is a question of a story, history, or genealogy in which the </w:t>
      </w:r>
      <w:sdt>
        <w:sdtPr>
          <w:tag w:val="goog_rdk_2"/>
          <w:id w:val="-1968506376"/>
        </w:sdtPr>
        <w:sdtContent/>
      </w:sdt>
      <w:r w:rsidR="004E5F0D">
        <w:t>narrator</w:t>
      </w:r>
      <w:r>
        <w:t xml:space="preserve"> is a pivotal character. The life scientist is a living thing, and </w:t>
      </w:r>
      <w:sdt>
        <w:sdtPr>
          <w:tag w:val="goog_rdk_3"/>
          <w:id w:val="-555467952"/>
        </w:sdtPr>
        <w:sdtContent/>
      </w:sdt>
      <w:r>
        <w:t>they chart their own pedigree with this tree. By questioning its roots, we open ourselves to other suspicions of the legacies—</w:t>
      </w:r>
      <w:sdt>
        <w:sdtPr>
          <w:tag w:val="goog_rdk_4"/>
          <w:id w:val="-1260139646"/>
        </w:sdtPr>
        <w:sdtContent/>
      </w:sdt>
      <w:r>
        <w:t>Abrah</w:t>
      </w:r>
      <w:r w:rsidR="00D55FA4">
        <w:t>a</w:t>
      </w:r>
      <w:r>
        <w:t>mic and ontotheological—that we may unknowingly or compulsively repeat or inherit today.</w:t>
      </w:r>
    </w:p>
    <w:p w14:paraId="00000010" w14:textId="4FFF1843" w:rsidR="004F75A9" w:rsidRDefault="00000000">
      <w:r>
        <w:tab/>
        <w:t xml:space="preserve">Trees of Life typically represent species-lineages, implying </w:t>
      </w:r>
      <w:r w:rsidR="00557641">
        <w:t xml:space="preserve">self-contained </w:t>
      </w:r>
      <w:r>
        <w:t xml:space="preserve">reproductive communities without external </w:t>
      </w:r>
      <w:r w:rsidR="00C43F52">
        <w:t>contributions</w:t>
      </w:r>
      <w:r>
        <w:t xml:space="preserve"> </w:t>
      </w:r>
      <w:r w:rsidR="00C43F52">
        <w:t xml:space="preserve">to </w:t>
      </w:r>
      <w:r>
        <w:t>their here</w:t>
      </w:r>
      <w:r w:rsidR="00C43F52">
        <w:t>ditary potential</w:t>
      </w:r>
      <w:r>
        <w:t xml:space="preserve">. Such relationships of descent, passing purely from parent species to child species or parent organism to child organism (fitting with a representation of heredity as grounded in a genetic substance received at conception), are sometimes referred to as “vertical.” This descriptor forms a contrast with processes such as “horizontal gene transfer,” which allow for the exchange of genes among distantly related organisms. Eugene </w:t>
      </w:r>
      <w:proofErr w:type="spellStart"/>
      <w:r>
        <w:t>Koonin</w:t>
      </w:r>
      <w:proofErr w:type="spellEnd"/>
      <w:r>
        <w:t xml:space="preserve">, a contemporary virologist and comparative </w:t>
      </w:r>
      <w:proofErr w:type="spellStart"/>
      <w:r>
        <w:t>genomicist</w:t>
      </w:r>
      <w:proofErr w:type="spellEnd"/>
      <w:r>
        <w:t>, has gone further than most other life scientists toward recognizing the aporetic nature of this “horizontality:”</w:t>
      </w:r>
    </w:p>
    <w:p w14:paraId="00000011" w14:textId="77777777" w:rsidR="004F75A9" w:rsidRDefault="004F75A9"/>
    <w:p w14:paraId="00000012" w14:textId="77777777" w:rsidR="004F75A9" w:rsidRDefault="00000000">
      <w:pPr>
        <w:ind w:left="720"/>
      </w:pPr>
      <w:r>
        <w:t xml:space="preserve">Herein is the fundamental problem that literally reaches philosophical heights: to meaningfully speak of HGT [Horizontal Gene Transfer], one </w:t>
      </w:r>
      <w:r>
        <w:rPr>
          <w:i/>
        </w:rPr>
        <w:t xml:space="preserve">must </w:t>
      </w:r>
      <w:r>
        <w:t>define the “main,” vertical direction of evolution. However, if organisms exchange genes at high rates—in the extreme, freely and uniformly—the concept of vertical evolution makes no sense, nor does the orthogonal concept of HGT. (</w:t>
      </w:r>
      <w:proofErr w:type="spellStart"/>
      <w:r>
        <w:t>Koonin</w:t>
      </w:r>
      <w:proofErr w:type="spellEnd"/>
      <w:r>
        <w:t xml:space="preserve"> 124)</w:t>
      </w:r>
    </w:p>
    <w:p w14:paraId="00000013" w14:textId="77777777" w:rsidR="004F75A9" w:rsidRDefault="004F75A9"/>
    <w:p w14:paraId="00000014" w14:textId="7F41AA79" w:rsidR="004F75A9" w:rsidRDefault="00000000">
      <w:proofErr w:type="spellStart"/>
      <w:r>
        <w:t>Koonin</w:t>
      </w:r>
      <w:proofErr w:type="spellEnd"/>
      <w:r>
        <w:t xml:space="preserve"> recognizes, as many </w:t>
      </w:r>
      <w:proofErr w:type="spellStart"/>
      <w:r>
        <w:t>phylogenists</w:t>
      </w:r>
      <w:proofErr w:type="spellEnd"/>
      <w:r>
        <w:t xml:space="preserve"> do, that “horizontal” exchange jeopardizes the task of molding evolutionary history into a tree (Ragan). If shared genes are not necessarily received at </w:t>
      </w:r>
      <w:r w:rsidR="002857D0">
        <w:t>birth</w:t>
      </w:r>
      <w:r>
        <w:t xml:space="preserve">, then </w:t>
      </w:r>
      <w:r w:rsidR="00450A34">
        <w:t xml:space="preserve">the present distribution of genes is not a faithful </w:t>
      </w:r>
      <w:r w:rsidR="003F739D">
        <w:t>record</w:t>
      </w:r>
      <w:r w:rsidR="00450A34">
        <w:t xml:space="preserve"> of genealogy, </w:t>
      </w:r>
      <w:r w:rsidR="00C41723">
        <w:t>nor would that history, even if it could be known,</w:t>
      </w:r>
      <w:r>
        <w:t xml:space="preserve"> </w:t>
      </w:r>
      <w:r w:rsidR="00C41723">
        <w:t xml:space="preserve">have </w:t>
      </w:r>
      <w:r>
        <w:t>play</w:t>
      </w:r>
      <w:r w:rsidR="00C41723">
        <w:t>ed</w:t>
      </w:r>
      <w:r>
        <w:t xml:space="preserve"> </w:t>
      </w:r>
      <w:r w:rsidR="004E2264">
        <w:t xml:space="preserve">the </w:t>
      </w:r>
      <w:r w:rsidR="009F2AA1">
        <w:t xml:space="preserve">decisive </w:t>
      </w:r>
      <w:r>
        <w:t xml:space="preserve">role in making life what it is. Yet, </w:t>
      </w:r>
      <w:proofErr w:type="spellStart"/>
      <w:r>
        <w:t>Koonin</w:t>
      </w:r>
      <w:proofErr w:type="spellEnd"/>
      <w:r>
        <w:t xml:space="preserve"> goes a step further by recognizing that, if “horizontality” makes “vertical” filiations fictive, </w:t>
      </w:r>
      <w:r>
        <w:rPr>
          <w:i/>
        </w:rPr>
        <w:t xml:space="preserve">it nonetheless fictionalizes itself as well. </w:t>
      </w:r>
      <w:r>
        <w:t xml:space="preserve">“Horizontal” simply refers to the lateral movement </w:t>
      </w:r>
      <w:r w:rsidR="005D10DB">
        <w:t>between</w:t>
      </w:r>
      <w:r>
        <w:t xml:space="preserve"> branches of a presupposed tree. </w:t>
      </w:r>
      <w:r w:rsidR="00067F44">
        <w:t>It would not even be accurate to place horizontal transfers in an active role, by saying that infective heredity obscures, effaces, displaces, or transforms the nature of life</w:t>
      </w:r>
      <w:r w:rsidR="00A31F92">
        <w:t>; even in order to gainsay or give the lie to all possible arborescence, one must fictively cast certain characters in the roles of essentiality (vertical, innate) and inessentiality.</w:t>
      </w:r>
      <w:r w:rsidR="00067F44">
        <w:t xml:space="preserve"> </w:t>
      </w:r>
      <w:r>
        <w:t xml:space="preserve">If there is no tree to begin with, there can be no horizontal transfers either; rather than stymying the scientific endeavor, this necessary tree-fabulation has always and everywhere granted its only possibility, while leaving every figuration of hereditary power open to an </w:t>
      </w:r>
      <w:proofErr w:type="spellStart"/>
      <w:r>
        <w:t>unfigurable</w:t>
      </w:r>
      <w:proofErr w:type="spellEnd"/>
      <w:r>
        <w:t xml:space="preserve"> </w:t>
      </w:r>
      <w:sdt>
        <w:sdtPr>
          <w:tag w:val="goog_rdk_5"/>
          <w:id w:val="-1817017664"/>
        </w:sdtPr>
        <w:sdtContent/>
      </w:sdt>
      <w:r>
        <w:t>monstrosity.</w:t>
      </w:r>
    </w:p>
    <w:p w14:paraId="00000015" w14:textId="5CBF23A7" w:rsidR="004F75A9" w:rsidRDefault="00000000">
      <w:r>
        <w:tab/>
        <w:t xml:space="preserve">Despite having stated that the “concept” of horizontal transfer “makes no sense,” </w:t>
      </w:r>
      <w:proofErr w:type="spellStart"/>
      <w:r>
        <w:t>Koonin</w:t>
      </w:r>
      <w:proofErr w:type="spellEnd"/>
      <w:r>
        <w:t xml:space="preserve"> immediately falls back on a horizontal depiction of heredity: </w:t>
      </w:r>
      <w:sdt>
        <w:sdtPr>
          <w:tag w:val="goog_rdk_6"/>
          <w:id w:val="715938372"/>
        </w:sdtPr>
        <w:sdtContent/>
      </w:sdt>
      <w:r>
        <w:t>“Hence, [!] a web (network) representation of the evolution of prokaryotes seems to be a logical necessity” (</w:t>
      </w:r>
      <w:proofErr w:type="spellStart"/>
      <w:r>
        <w:t>Koonin</w:t>
      </w:r>
      <w:proofErr w:type="spellEnd"/>
      <w:r>
        <w:t xml:space="preserve"> 124). Here, </w:t>
      </w:r>
      <w:proofErr w:type="spellStart"/>
      <w:r>
        <w:t>Koonin</w:t>
      </w:r>
      <w:proofErr w:type="spellEnd"/>
      <w:r>
        <w:t xml:space="preserve"> draws back from the radical instability he just recognized and explicitly stated, given that a web or network simply represents something like a cross-section of the branches of a tree, </w:t>
      </w:r>
      <w:r>
        <w:lastRenderedPageBreak/>
        <w:t xml:space="preserve">interconnected by horizontal transfers. In fact, in order to create such a diagram, a biologist must first derive a tree structure from </w:t>
      </w:r>
      <w:sdt>
        <w:sdtPr>
          <w:tag w:val="goog_rdk_7"/>
          <w:id w:val="-1141576012"/>
        </w:sdtPr>
        <w:sdtContent/>
      </w:sdt>
      <w:r>
        <w:t xml:space="preserve">their data, in order to determine what will count as the nodes of their network. These nodes are essentially branches of a tree, the differences or relations between them </w:t>
      </w:r>
      <w:sdt>
        <w:sdtPr>
          <w:tag w:val="goog_rdk_8"/>
          <w:id w:val="1500387588"/>
        </w:sdtPr>
        <w:sdtContent/>
      </w:sdt>
      <w:r>
        <w:t xml:space="preserve">only </w:t>
      </w:r>
      <w:r w:rsidR="000C4C4B">
        <w:t xml:space="preserve">being </w:t>
      </w:r>
      <w:r>
        <w:t>available if their identity, however fictive or unstable, is set down in advance. Thus, one cannot escape the tree and its associated values of hierarchy, identity, and consanguinity by turning toward figures of horizontality, which have been treated as liberatory not just in the life sciences but</w:t>
      </w:r>
      <w:sdt>
        <w:sdtPr>
          <w:tag w:val="goog_rdk_9"/>
          <w:id w:val="1342902039"/>
        </w:sdtPr>
        <w:sdtContent>
          <w:r w:rsidR="00AC788F">
            <w:t xml:space="preserve"> also</w:t>
          </w:r>
        </w:sdtContent>
      </w:sdt>
      <w:r>
        <w:t xml:space="preserve"> among humanities theorists who look for </w:t>
      </w:r>
      <w:proofErr w:type="spellStart"/>
      <w:r>
        <w:t>ethico</w:t>
      </w:r>
      <w:proofErr w:type="spellEnd"/>
      <w:r>
        <w:t xml:space="preserve">-political models of the </w:t>
      </w:r>
      <w:r>
        <w:rPr>
          <w:i/>
        </w:rPr>
        <w:t xml:space="preserve">good </w:t>
      </w:r>
      <w:r>
        <w:t xml:space="preserve">life in dialogue with the sciences. </w:t>
      </w:r>
      <w:sdt>
        <w:sdtPr>
          <w:tag w:val="goog_rdk_10"/>
          <w:id w:val="1725870023"/>
        </w:sdtPr>
        <w:sdtContent>
          <w:r w:rsidR="00BD5BF5">
            <w:t xml:space="preserve">Gilles </w:t>
          </w:r>
        </w:sdtContent>
      </w:sdt>
      <w:r>
        <w:t xml:space="preserve">Deleuze and </w:t>
      </w:r>
      <w:r w:rsidR="00BD5BF5">
        <w:t xml:space="preserve">Félix </w:t>
      </w:r>
      <w:r>
        <w:t xml:space="preserve">Guattari’s rhizomes, </w:t>
      </w:r>
      <w:r w:rsidR="00BD5BF5">
        <w:t xml:space="preserve">Bruno </w:t>
      </w:r>
      <w:r>
        <w:t xml:space="preserve">Latour’s networks, and </w:t>
      </w:r>
      <w:r w:rsidR="00BD5BF5">
        <w:t xml:space="preserve">Donna </w:t>
      </w:r>
      <w:r>
        <w:t xml:space="preserve">Haraway’s sympoiesis all </w:t>
      </w:r>
      <w:r w:rsidR="00E32D91">
        <w:t>depend upon</w:t>
      </w:r>
      <w:r>
        <w:t xml:space="preserve"> a</w:t>
      </w:r>
      <w:r w:rsidR="00C91341">
        <w:t>n unavowed</w:t>
      </w:r>
      <w:r>
        <w:t xml:space="preserve"> </w:t>
      </w:r>
      <w:r>
        <w:rPr>
          <w:i/>
        </w:rPr>
        <w:t xml:space="preserve">non-oppositional </w:t>
      </w:r>
      <w:r>
        <w:t xml:space="preserve">relationship with </w:t>
      </w:r>
      <w:sdt>
        <w:sdtPr>
          <w:tag w:val="goog_rdk_11"/>
          <w:id w:val="518120521"/>
        </w:sdtPr>
        <w:sdtContent/>
      </w:sdt>
      <w:r>
        <w:t xml:space="preserve">the trees and traditions they </w:t>
      </w:r>
      <w:sdt>
        <w:sdtPr>
          <w:tag w:val="goog_rdk_12"/>
          <w:id w:val="333037325"/>
        </w:sdtPr>
        <w:sdtContent/>
      </w:sdt>
      <w:r w:rsidR="007872A0">
        <w:t>claim</w:t>
      </w:r>
      <w:r>
        <w:t xml:space="preserve"> to surpass. The same co-implication haunts all figures of relationality, becoming, </w:t>
      </w:r>
      <w:r w:rsidR="00174F51">
        <w:t xml:space="preserve">plasticity, </w:t>
      </w:r>
      <w:r>
        <w:t xml:space="preserve">interaction, or process; any such system that places difference before identity necessarily depends on its inheritance or presupposition of identities—it is </w:t>
      </w:r>
      <w:sdt>
        <w:sdtPr>
          <w:tag w:val="goog_rdk_13"/>
          <w:id w:val="1553889013"/>
        </w:sdtPr>
        <w:sdtContent/>
      </w:sdt>
      <w:r>
        <w:t xml:space="preserve">part of the tree it would depart from. Nonetheless, the tree is no more all-encompassing of a figure. It too is uprooted by its own </w:t>
      </w:r>
      <w:sdt>
        <w:sdtPr>
          <w:tag w:val="goog_rdk_14"/>
          <w:id w:val="-1768234120"/>
        </w:sdtPr>
        <w:sdtContent/>
      </w:sdt>
      <w:r>
        <w:t>necessity.</w:t>
      </w:r>
      <w:r>
        <w:rPr>
          <w:vertAlign w:val="superscript"/>
        </w:rPr>
        <w:footnoteReference w:id="1"/>
      </w:r>
    </w:p>
    <w:p w14:paraId="00000016" w14:textId="69A4E060" w:rsidR="004F75A9" w:rsidRDefault="00000000">
      <w:r>
        <w:tab/>
        <w:t xml:space="preserve">In the passage just quoted, </w:t>
      </w:r>
      <w:proofErr w:type="spellStart"/>
      <w:r>
        <w:t>Koonin</w:t>
      </w:r>
      <w:proofErr w:type="spellEnd"/>
      <w:r>
        <w:t xml:space="preserve"> also suggests that the proper discipline and discourse to grapple with this aporia might lie beyond the boundaries of biology properly speaking. He </w:t>
      </w:r>
      <w:sdt>
        <w:sdtPr>
          <w:tag w:val="goog_rdk_15"/>
          <w:id w:val="1451587667"/>
        </w:sdtPr>
        <w:sdtContent/>
      </w:sdt>
      <w:r>
        <w:t>refer</w:t>
      </w:r>
      <w:r w:rsidR="00D7699E">
        <w:t xml:space="preserve">s </w:t>
      </w:r>
      <w:r>
        <w:t xml:space="preserve">to a problem that reaches “philosophical heights,” which may only </w:t>
      </w:r>
      <w:sdt>
        <w:sdtPr>
          <w:tag w:val="goog_rdk_16"/>
          <w:id w:val="1629810488"/>
        </w:sdtPr>
        <w:sdtContent/>
      </w:sdt>
      <w:r w:rsidR="00D7699E">
        <w:t>be</w:t>
      </w:r>
      <w:r>
        <w:t xml:space="preserve"> a way of hoping that someone else would have to deal with its ramifications, allowing him to return to his </w:t>
      </w:r>
      <w:sdt>
        <w:sdtPr>
          <w:tag w:val="goog_rdk_17"/>
          <w:id w:val="-669556922"/>
        </w:sdtPr>
        <w:sdtContent/>
      </w:sdt>
      <w:r>
        <w:t xml:space="preserve">modeling work relatively unencumbered by his brief glimpse into the </w:t>
      </w:r>
      <w:sdt>
        <w:sdtPr>
          <w:tag w:val="goog_rdk_18"/>
          <w:id w:val="-822965723"/>
        </w:sdtPr>
        <w:sdtContent/>
      </w:sdt>
      <w:r>
        <w:t xml:space="preserve">abyss. Rather, if we were to turn to the metaphysical tradition, or any other root of our biological and dendrological inheritance, we would find the </w:t>
      </w:r>
      <w:r>
        <w:rPr>
          <w:i/>
        </w:rPr>
        <w:t>suturing</w:t>
      </w:r>
      <w:r>
        <w:t xml:space="preserve"> of the tree-structure, the opening of its necessity and impossibility, there already. Not as something contained and controlled within another discourse (philosophical or otherwise), but as something that exposes any and every discourse to forces it cannot enclose or master. </w:t>
      </w:r>
    </w:p>
    <w:p w14:paraId="00000017" w14:textId="19AC93AD" w:rsidR="004F75A9" w:rsidRDefault="00000000">
      <w:r>
        <w:tab/>
        <w:t xml:space="preserve">Now, contemporary biologists already leave us several clues that could be read as symptoms of their exogenous inheritances. For instance, they </w:t>
      </w:r>
      <w:r w:rsidR="00087522">
        <w:t xml:space="preserve">almost </w:t>
      </w:r>
      <w:r>
        <w:t>uniformly write “Tree of Life” with capital letters, as if it were the proper name of a unique entity.</w:t>
      </w:r>
      <w:r w:rsidR="00981814">
        <w:rPr>
          <w:rStyle w:val="FootnoteReference"/>
        </w:rPr>
        <w:footnoteReference w:id="2"/>
      </w:r>
      <w:r>
        <w:t xml:space="preserve"> This vision of a single cradle nurturing all life that has been and that is to come suggests congruous figures of unique origin points, such as the “Y-chromosome Adam” and the “mitochondrial Eve” (</w:t>
      </w:r>
      <w:proofErr w:type="spellStart"/>
      <w:r>
        <w:t>Oikkonen</w:t>
      </w:r>
      <w:proofErr w:type="spellEnd"/>
      <w:r>
        <w:t xml:space="preserve">). Indeed, we may not have strayed far from branching rivers of Eden, where a “Tree of Life” was said to </w:t>
      </w:r>
      <w:sdt>
        <w:sdtPr>
          <w:tag w:val="goog_rdk_20"/>
          <w:id w:val="-877852394"/>
        </w:sdtPr>
        <w:sdtContent/>
      </w:sdt>
      <w:r>
        <w:t>grow.</w:t>
      </w:r>
    </w:p>
    <w:p w14:paraId="2602E306" w14:textId="396FFF46" w:rsidR="001176CF" w:rsidRDefault="00000000">
      <w:r>
        <w:tab/>
        <w:t xml:space="preserve">It is constitutive of this biological tree of life that it </w:t>
      </w:r>
      <w:sdt>
        <w:sdtPr>
          <w:tag w:val="goog_rdk_21"/>
          <w:id w:val="1362320024"/>
        </w:sdtPr>
        <w:sdtContent/>
      </w:sdt>
      <w:r w:rsidR="008F71CD">
        <w:t>is at once, in an impossible simultaneity,</w:t>
      </w:r>
      <w:r>
        <w:t xml:space="preserve"> logic</w:t>
      </w:r>
      <w:r w:rsidR="008F71CD">
        <w:t>al</w:t>
      </w:r>
      <w:r>
        <w:t xml:space="preserve"> and natur</w:t>
      </w:r>
      <w:r w:rsidR="008F71CD">
        <w:t>al</w:t>
      </w:r>
      <w:r>
        <w:t xml:space="preserve">. In other words, every phylogeny drawn by biologists is meant to define or justify both the history of life just as it has been—the struggle for existence in which individuals descend from individuals or species from species—and the scientific knowledge of life that places it under </w:t>
      </w:r>
      <w:r w:rsidR="00D831DF">
        <w:t xml:space="preserve">taxonomic </w:t>
      </w:r>
      <w:r>
        <w:t xml:space="preserve">categories such as those of species. Trees logical and biological. When </w:t>
      </w:r>
      <w:sdt>
        <w:sdtPr>
          <w:tag w:val="goog_rdk_22"/>
          <w:id w:val="-467972981"/>
        </w:sdtPr>
        <w:sdtContent>
          <w:r w:rsidR="00B077F9">
            <w:t xml:space="preserve">Charles </w:t>
          </w:r>
        </w:sdtContent>
      </w:sdt>
      <w:r>
        <w:t xml:space="preserve">Darwin famously inscribed a tree structure in his </w:t>
      </w:r>
      <w:r>
        <w:rPr>
          <w:i/>
        </w:rPr>
        <w:t>Origin of Species</w:t>
      </w:r>
      <w:r>
        <w:t>, he referred to it at one and the same time as a representation of “the great battle for life” and “the classification of all extinct and living species in groups subordinate to groups” (</w:t>
      </w:r>
      <w:r w:rsidR="00077778">
        <w:t>99-100</w:t>
      </w:r>
      <w:r>
        <w:t xml:space="preserve">). Genealogy and taxonomy, diachrony and synchrony, nature and logic in a single structure. The anxiety troubling </w:t>
      </w:r>
      <w:proofErr w:type="spellStart"/>
      <w:r>
        <w:t>Koonin</w:t>
      </w:r>
      <w:proofErr w:type="spellEnd"/>
      <w:r>
        <w:t xml:space="preserve"> is that it </w:t>
      </w:r>
      <w:r w:rsidR="00EB0CB4">
        <w:t>remains impossible to fix</w:t>
      </w:r>
      <w:r w:rsidR="00801108">
        <w:t xml:space="preserve"> or anchor</w:t>
      </w:r>
      <w:r w:rsidR="00EB0CB4">
        <w:t xml:space="preserve"> trees</w:t>
      </w:r>
      <w:r w:rsidR="00801108">
        <w:t xml:space="preserve"> of logic and nature</w:t>
      </w:r>
      <w:r w:rsidR="00EB0CB4">
        <w:t xml:space="preserve">, whether one hopes to superimpose or oppose them. </w:t>
      </w:r>
      <w:r w:rsidR="003C1F43">
        <w:t xml:space="preserve">It is no more </w:t>
      </w:r>
      <w:r w:rsidR="009625D6">
        <w:t>rigorous</w:t>
      </w:r>
      <w:r w:rsidR="003C1F43">
        <w:t xml:space="preserve"> to say that this “Tree of Life” </w:t>
      </w:r>
      <w:r w:rsidR="003C1F43">
        <w:rPr>
          <w:i/>
          <w:iCs/>
        </w:rPr>
        <w:t xml:space="preserve">is </w:t>
      </w:r>
      <w:r w:rsidR="003C1F43">
        <w:t xml:space="preserve">the nature of nature, than it would be to claim it as a logical </w:t>
      </w:r>
      <w:r w:rsidR="003C1F43">
        <w:lastRenderedPageBreak/>
        <w:t>imposition upon a natural system that took place otherwise (for instance, as network, web, etc.)</w:t>
      </w:r>
      <w:r w:rsidR="00801108">
        <w:t>.</w:t>
      </w:r>
      <w:r w:rsidR="00EB0CB4">
        <w:t xml:space="preserve"> </w:t>
      </w:r>
      <w:r w:rsidR="003D2897">
        <w:t xml:space="preserve">The very effort to </w:t>
      </w:r>
      <w:r w:rsidR="00EE682B">
        <w:t>marginalize</w:t>
      </w:r>
      <w:r w:rsidR="003D2897">
        <w:t xml:space="preserve"> the tree, by </w:t>
      </w:r>
      <w:r w:rsidR="00EE682B">
        <w:t xml:space="preserve">imagining a </w:t>
      </w:r>
      <w:r w:rsidR="003D2897">
        <w:t xml:space="preserve">nature </w:t>
      </w:r>
      <w:r w:rsidR="00EE682B">
        <w:t xml:space="preserve">kept pure of </w:t>
      </w:r>
      <w:r w:rsidR="003D2897">
        <w:t xml:space="preserve">the logic of divergent hierarchy, </w:t>
      </w:r>
      <w:r w:rsidR="001176CF">
        <w:t xml:space="preserve">can only take place </w:t>
      </w:r>
      <w:r w:rsidR="001176CF">
        <w:rPr>
          <w:i/>
          <w:iCs/>
        </w:rPr>
        <w:t xml:space="preserve">as another tree, </w:t>
      </w:r>
      <w:r w:rsidR="001176CF">
        <w:t>as the branching opposition of logic</w:t>
      </w:r>
      <w:r w:rsidR="00F7622E">
        <w:t>/</w:t>
      </w:r>
      <w:r w:rsidR="001176CF">
        <w:t>nature.</w:t>
      </w:r>
      <w:r>
        <w:t xml:space="preserve"> </w:t>
      </w:r>
      <w:r w:rsidR="00281BBD">
        <w:t>Rather than being able to separate a natural history of life from its logical-taxonomic supplement, there is nothing we can describe as life “itself”</w:t>
      </w:r>
      <w:r w:rsidR="00956284">
        <w:t>—and nothing we can oppose to it as prosthetic artifice—</w:t>
      </w:r>
      <w:r w:rsidR="00281BBD">
        <w:t xml:space="preserve">until it has received this unstable form. </w:t>
      </w:r>
    </w:p>
    <w:p w14:paraId="00000018" w14:textId="591F4217" w:rsidR="004F75A9" w:rsidRDefault="00000000" w:rsidP="001176CF">
      <w:pPr>
        <w:ind w:firstLine="720"/>
      </w:pPr>
      <w:r>
        <w:t xml:space="preserve">For this reason, I speak of life-science, an undecidability that can neither coalesce as a stable unity nor be parsed as a stable opposition. Now, it so happens—as if by chance—that </w:t>
      </w:r>
      <w:r w:rsidR="00127263">
        <w:t>one</w:t>
      </w:r>
      <w:r>
        <w:t xml:space="preserve"> story of the origin of animals and humanity in Genesis names two trees: the Tree of Life and the Tree of Knowledge. This latter, in Latin translation, was known as </w:t>
      </w:r>
      <w:r>
        <w:rPr>
          <w:i/>
        </w:rPr>
        <w:t>lignum scientiae—</w:t>
      </w:r>
      <w:r>
        <w:t xml:space="preserve">the Tree of Science. Milton even </w:t>
      </w:r>
      <w:r w:rsidR="000507F6">
        <w:t xml:space="preserve">called it “Mother of science,” and </w:t>
      </w:r>
      <w:r>
        <w:t>wrote of its “sciential sap” (</w:t>
      </w:r>
      <w:r w:rsidR="00544913">
        <w:t>IX.680</w:t>
      </w:r>
      <w:r w:rsidR="00F93EEA">
        <w:t>,</w:t>
      </w:r>
      <w:r w:rsidR="00A832BC">
        <w:t xml:space="preserve"> </w:t>
      </w:r>
      <w:r>
        <w:t>837).</w:t>
      </w:r>
      <w:r>
        <w:rPr>
          <w:vertAlign w:val="superscript"/>
        </w:rPr>
        <w:footnoteReference w:id="3"/>
      </w:r>
    </w:p>
    <w:p w14:paraId="00000019" w14:textId="7F8053B7" w:rsidR="004F75A9" w:rsidRDefault="00000000">
      <w:r>
        <w:tab/>
        <w:t>Should we still invoke coincidence if we find that an enduring tradition of biblical exegesis has debated whether the Eden narrative contains one or two trees? Of the countless hermeneutic forking paths this story leaves open, I will follow only the most interesting for our purposes, necessarily but arbitrarily obeying constraints of space. One argument for the original unity</w:t>
      </w:r>
      <w:r w:rsidR="00312407">
        <w:t xml:space="preserve"> or singularity</w:t>
      </w:r>
      <w:r>
        <w:t xml:space="preserve"> of the Tree sets out from apparent self-contradictions within the existing text of Genesis. In the story of Adam and Eve in Paradise, from Gen. 2:4-3:24, the Tree of Life is only mentioned at the beginning and again at the very end of the narrative. It is first mentioned in 2:9: “Out of the ground the LORD God made to grow every tree that is pleasant to the sight and good for food, the tree of life also in the midst of the garden, and the tree of the knowledge of good and </w:t>
      </w:r>
      <w:sdt>
        <w:sdtPr>
          <w:tag w:val="goog_rdk_27"/>
          <w:id w:val="-599644096"/>
        </w:sdtPr>
        <w:sdtContent/>
      </w:sdt>
      <w:r>
        <w:t>evil”</w:t>
      </w:r>
      <w:r w:rsidR="001D5AE0">
        <w:t xml:space="preserve"> (</w:t>
      </w:r>
      <w:r w:rsidR="001D5AE0">
        <w:rPr>
          <w:i/>
          <w:iCs/>
        </w:rPr>
        <w:t>SBL Study Bible</w:t>
      </w:r>
      <w:r w:rsidR="001D5AE0">
        <w:t>).</w:t>
      </w:r>
      <w:r>
        <w:t xml:space="preserve"> The Tree of Life does not explicitly return until 3:22 and 3:24, and these references bookend a narrative that seems self-contradictory. In Gen. 3:3, Eve tells the serpent that God has forbidden eating from “the tree that is in the middle of the garden” (the same word is translated as “middle” here and “midst” in 2:9). This has given rise to philological criticism suggesting that a narrative that spoke of only a single tree (perhaps not even specified as “the Tree of Knowledge”) was spliced together with one containing a Tree of Life.</w:t>
      </w:r>
      <w:r w:rsidR="009912A7">
        <w:rPr>
          <w:rStyle w:val="FootnoteReference"/>
        </w:rPr>
        <w:footnoteReference w:id="4"/>
      </w:r>
      <w:r>
        <w:t xml:space="preserve"> For instance, “The suspicion can scarcely be suppressed that the duality of trees in the midst of the garden is only the result of a subsequent combination of two traditions” (von Rad 78). Without entering into the irresolvable questions that grow from this “suspicion,” I will simply note that what this scholar and many before and since are describing is </w:t>
      </w:r>
      <w:sdt>
        <w:sdtPr>
          <w:tag w:val="goog_rdk_28"/>
          <w:id w:val="-1908755193"/>
        </w:sdtPr>
        <w:sdtContent/>
      </w:sdt>
      <w:r>
        <w:rPr>
          <w:i/>
        </w:rPr>
        <w:t>another tree</w:t>
      </w:r>
      <w:r>
        <w:t>. Two “traditions,” two parents, recombine to form an offspring resembling them in certain traits, one crux of a family tree. It is enough to note that a necessarily received or ungrounded (“inherited,” but from a “source” that places in question our very notion of inheritance) concept of the unities of narrative and authorship preconditions this conclusion about the dual tributaries of our Genesis. The tree-structure presupposed by all criticism, all science or knowledge, at the same time unmoors it.</w:t>
      </w:r>
    </w:p>
    <w:p w14:paraId="0000001A" w14:textId="501B67CA" w:rsidR="004F75A9" w:rsidRDefault="00000000">
      <w:r>
        <w:tab/>
      </w:r>
      <w:sdt>
        <w:sdtPr>
          <w:tag w:val="goog_rdk_29"/>
          <w:id w:val="1122042522"/>
        </w:sdtPr>
        <w:sdtContent>
          <w:r w:rsidR="00A27383">
            <w:t>These</w:t>
          </w:r>
          <w:r w:rsidR="00793DD1">
            <w:t xml:space="preserve"> readers suspect a secret narrative behind this story of Genesis, </w:t>
          </w:r>
          <w:r w:rsidR="00771F6E">
            <w:t>behind what</w:t>
          </w:r>
          <w:r w:rsidR="00793DD1">
            <w:t xml:space="preserve"> is supposed to be the </w:t>
          </w:r>
          <w:proofErr w:type="spellStart"/>
          <w:r w:rsidR="00793DD1">
            <w:rPr>
              <w:i/>
              <w:iCs/>
            </w:rPr>
            <w:t>Urgeschichte</w:t>
          </w:r>
          <w:proofErr w:type="spellEnd"/>
          <w:r w:rsidR="00793DD1">
            <w:rPr>
              <w:i/>
              <w:iCs/>
            </w:rPr>
            <w:t xml:space="preserve">, </w:t>
          </w:r>
          <w:r w:rsidR="00793DD1">
            <w:t xml:space="preserve">the first link or root in a genealogy of all historical occurrence and history itself. </w:t>
          </w:r>
          <w:r w:rsidR="00B0130B">
            <w:t xml:space="preserve">The creation story is created, leaving the traces, symptoms or clues, of the secret </w:t>
          </w:r>
          <w:r w:rsidR="00AE64B0">
            <w:t>process</w:t>
          </w:r>
          <w:r w:rsidR="00B0130B">
            <w:t xml:space="preserve"> of its composition</w:t>
          </w:r>
          <w:r w:rsidR="00EE5E5A">
            <w:t xml:space="preserve">. </w:t>
          </w:r>
          <w:r w:rsidR="0076158C">
            <w:t>A</w:t>
          </w:r>
          <w:r w:rsidR="00EE5E5A">
            <w:t xml:space="preserve">mong these manifest signs </w:t>
          </w:r>
          <w:r w:rsidR="0076158C">
            <w:t xml:space="preserve">of a hidden authorial </w:t>
          </w:r>
          <w:r w:rsidR="00757E1C">
            <w:t>multiplicity</w:t>
          </w:r>
          <w:r w:rsidR="0076158C">
            <w:t>, one finds</w:t>
          </w:r>
        </w:sdtContent>
      </w:sdt>
      <w:r w:rsidR="00EE5E5A">
        <w:t xml:space="preserve"> </w:t>
      </w:r>
      <w:r>
        <w:t>the flickering unity-duality of the Tree or Trees of Life-Science</w:t>
      </w:r>
      <w:r w:rsidR="00872DC3">
        <w:t>.</w:t>
      </w:r>
      <w:r>
        <w:t xml:space="preserve"> </w:t>
      </w:r>
      <w:r w:rsidR="0071403C">
        <w:t xml:space="preserve">Yet, </w:t>
      </w:r>
      <w:r>
        <w:t>this narrative of hypothetical authorial unities and hypothetical Tree-stories</w:t>
      </w:r>
      <w:r w:rsidR="008C54E9">
        <w:t xml:space="preserve"> can only </w:t>
      </w:r>
      <w:r w:rsidR="0000093D">
        <w:t>be another front</w:t>
      </w:r>
      <w:r>
        <w:t xml:space="preserve">, </w:t>
      </w:r>
      <w:r w:rsidR="0000093D">
        <w:t xml:space="preserve">hiding still </w:t>
      </w:r>
      <w:r>
        <w:t>another genealogy we cannot ignore, that of the scholarly tradition positing this composite narrative</w:t>
      </w:r>
      <w:r w:rsidR="007E2235">
        <w:t>,</w:t>
      </w:r>
      <w:r>
        <w:t xml:space="preserve"> </w:t>
      </w:r>
      <w:r w:rsidR="007E2235">
        <w:t xml:space="preserve">a tradition </w:t>
      </w:r>
      <w:r>
        <w:t xml:space="preserve">which may one day forget but will never exhaust these questions. This is what it means for </w:t>
      </w:r>
      <w:r>
        <w:lastRenderedPageBreak/>
        <w:t>the Trees of Life and Science to be neither one nor two—the origin that is to be known is belated, it comes to pass after the knowing that must fictively reconstitute its object.</w:t>
      </w:r>
      <w:r w:rsidR="0003269A">
        <w:rPr>
          <w:rStyle w:val="FootnoteReference"/>
        </w:rPr>
        <w:footnoteReference w:id="5"/>
      </w:r>
    </w:p>
    <w:p w14:paraId="00000020" w14:textId="5EBBDEF2" w:rsidR="004F75A9" w:rsidRDefault="00000000">
      <w:pPr>
        <w:ind w:firstLine="720"/>
      </w:pPr>
      <w:r>
        <w:t xml:space="preserve">There are other, perhaps conflicting, grammatical or semantic-hermeneutic reasons that the “duality” of Trees </w:t>
      </w:r>
      <w:sdt>
        <w:sdtPr>
          <w:tag w:val="goog_rdk_35"/>
          <w:id w:val="1457906448"/>
        </w:sdtPr>
        <w:sdtContent/>
      </w:sdt>
      <w:r>
        <w:t xml:space="preserve">seems to </w:t>
      </w:r>
      <w:r w:rsidR="00D4185C">
        <w:t>shelter an original unity</w:t>
      </w:r>
      <w:r>
        <w:t xml:space="preserve">. For instance, in the </w:t>
      </w:r>
      <w:sdt>
        <w:sdtPr>
          <w:tag w:val="goog_rdk_36"/>
          <w:id w:val="-1672952212"/>
        </w:sdtPr>
        <w:sdtContent/>
      </w:sdt>
      <w:r>
        <w:t>phrase</w:t>
      </w:r>
      <w:r w:rsidR="00550B9A">
        <w:t xml:space="preserve"> from Genesis 2:9</w:t>
      </w:r>
      <w:r w:rsidR="00C10DD8">
        <w:t>,</w:t>
      </w:r>
      <w:r>
        <w:t xml:space="preserve"> “the tree of life also in the midst of the garden, and the tree of the knowledge of good and evil,” the word translated as “and” has been read (controversially) as “namely,” suggesting an apposition that would give two names for a single tree (Levy 21). Moreover, the powers attributed to the fruit of the forbidden tree have been read together with several other clues in the narrative to suggest how science and life might be understood to belong to a single source. It is said that eating from this tree will grant knowledge of good and evil, will make its recipients like </w:t>
      </w:r>
      <w:proofErr w:type="gramStart"/>
      <w:r>
        <w:t>god</w:t>
      </w:r>
      <w:proofErr w:type="gramEnd"/>
      <w:r>
        <w:t xml:space="preserve">, </w:t>
      </w:r>
      <w:sdt>
        <w:sdtPr>
          <w:tag w:val="goog_rdk_37"/>
          <w:id w:val="1184252651"/>
        </w:sdtPr>
        <w:sdtContent/>
      </w:sdt>
      <w:r>
        <w:t xml:space="preserve">and that eating or touching it will result in death. Among the countless attempts to </w:t>
      </w:r>
      <w:r w:rsidR="00F308CF">
        <w:t xml:space="preserve">uncover the hidden root of these powers and </w:t>
      </w:r>
      <w:r>
        <w:t xml:space="preserve">reconstitute our originary knowledge, I will follow one particular thread that understands it as something like sexual maturity (Levy; Gordis, “Significance”; Gordis, “Knowledge”). (Pursuing this thread does not mean that we are ruling out other interpretations.) If “knowledge of good and evil” means something like sexual knowledge or self-awareness, this may account for why Adam and Eve recognize and feel shame at their nakedness, and for the logic of the punishments they receive. Before deciphering or diagnosing these details, we can also recognize why this particular form of knowledge might be said to make humanity “like gods.” On the one hand, the human thus resembles god because </w:t>
      </w:r>
      <w:sdt>
        <w:sdtPr>
          <w:tag w:val="goog_rdk_38"/>
          <w:id w:val="1190728731"/>
        </w:sdtPr>
        <w:sdtContent/>
      </w:sdt>
      <w:r w:rsidR="003E177B">
        <w:t>our</w:t>
      </w:r>
      <w:r>
        <w:t xml:space="preserve"> power of procreation imitates god’s power of creation; on the other, sexual reproduction grants something approaching godlike immortality to the species, allowing the individual to transcend its finitude.</w:t>
      </w:r>
      <w:r w:rsidR="004A435F">
        <w:rPr>
          <w:rStyle w:val="FootnoteReference"/>
        </w:rPr>
        <w:footnoteReference w:id="6"/>
      </w:r>
      <w:r>
        <w:t xml:space="preserve"> Then, the “Tree of Knowledge” would be the “Tree of Life,” granting a single power that would be, at once, sexuality and immortality.</w:t>
      </w:r>
    </w:p>
    <w:p w14:paraId="00000021" w14:textId="77777777" w:rsidR="004F75A9" w:rsidRDefault="00000000">
      <w:r>
        <w:tab/>
        <w:t xml:space="preserve">This union even leaves its traces in the Hebrew language. The verb we typically translate as “to know,” </w:t>
      </w:r>
      <w:r>
        <w:rPr>
          <w:i/>
        </w:rPr>
        <w:t>yada,</w:t>
      </w:r>
      <w:r>
        <w:t xml:space="preserve"> refers to </w:t>
      </w:r>
      <w:sdt>
        <w:sdtPr>
          <w:tag w:val="goog_rdk_39"/>
          <w:id w:val="32156705"/>
        </w:sdtPr>
        <w:sdtContent/>
      </w:sdt>
      <w:r>
        <w:t xml:space="preserve">both knowledge and sexual union. A form of this verb appears in the </w:t>
      </w:r>
      <w:r>
        <w:lastRenderedPageBreak/>
        <w:t xml:space="preserve">name of the Tree of </w:t>
      </w:r>
      <w:r>
        <w:rPr>
          <w:i/>
        </w:rPr>
        <w:t xml:space="preserve">Knowledge </w:t>
      </w:r>
      <w:r>
        <w:t xml:space="preserve">of Good and Evil, and appears again just after the expulsion of Adam and Eve from Eden: “Now the man </w:t>
      </w:r>
      <w:r>
        <w:rPr>
          <w:i/>
        </w:rPr>
        <w:t>knew</w:t>
      </w:r>
      <w:r>
        <w:t xml:space="preserve"> his wife Eve, and she conceived and bore Cain” (Gen 4:1; emphasis added).</w:t>
      </w:r>
    </w:p>
    <w:p w14:paraId="00000022" w14:textId="10A5C233" w:rsidR="004F75A9" w:rsidRDefault="00000000">
      <w:r>
        <w:tab/>
        <w:t>The fruit grants knowledge, makes us like gods—but also condemns to death. This last association perhaps presents the greatest textual difficulties. One interpretation, which at the very least is no more unsatisfying than any other, follows directly from this association of knowledge as sexuality with immortality through reproduction. It consists in arguing that sexual reproduction necessitates death: “Death is the consequence of the sex act […] An interesting notion, indeed the result of observation, that the plant withers as soon as it has borne fruit and that also with the human being the old generation is constrained to make room for the new” (Levy 22; my translation).</w:t>
      </w:r>
      <w:r w:rsidR="00484293">
        <w:t xml:space="preserve"> The immortality or procreation of the species is said to necessitate the death of the individual.</w:t>
      </w:r>
      <w:r>
        <w:t xml:space="preserve"> </w:t>
      </w:r>
      <w:r w:rsidR="00484293">
        <w:t>Thus, the equation of knowledge and life</w:t>
      </w:r>
      <w:r w:rsidR="00181632">
        <w:t xml:space="preserve"> implies a form of life that sublates or sur-vives death non-</w:t>
      </w:r>
      <w:proofErr w:type="spellStart"/>
      <w:r w:rsidR="00181632">
        <w:t>oppositionally</w:t>
      </w:r>
      <w:proofErr w:type="spellEnd"/>
      <w:r w:rsidR="00181632">
        <w:t xml:space="preserve"> (</w:t>
      </w:r>
      <w:r w:rsidR="0013127E">
        <w:t xml:space="preserve">individual </w:t>
      </w:r>
      <w:r w:rsidR="00181632">
        <w:t>death is a moment of infinite life).</w:t>
      </w:r>
      <w:r w:rsidR="006D5DDC">
        <w:rPr>
          <w:rStyle w:val="FootnoteReference"/>
        </w:rPr>
        <w:footnoteReference w:id="7"/>
      </w:r>
      <w:r>
        <w:t xml:space="preserve"> </w:t>
      </w:r>
    </w:p>
    <w:p w14:paraId="00000024" w14:textId="4F900C91" w:rsidR="004F75A9" w:rsidRDefault="00000000">
      <w:r>
        <w:tab/>
        <w:t>Now, this logic tying together immortality, sex, and death is not foreign to biological science. We find it in the work of geneticist François Jacob, who described bacteria as immortal and asexual, and saw sex and death as accidents befalling the history of life (</w:t>
      </w:r>
      <w:sdt>
        <w:sdtPr>
          <w:tag w:val="goog_rdk_42"/>
          <w:id w:val="620964129"/>
        </w:sdtPr>
        <w:sdtContent>
          <w:r w:rsidR="000719E9">
            <w:t xml:space="preserve">cf. </w:t>
          </w:r>
        </w:sdtContent>
      </w:sdt>
      <w:r>
        <w:t xml:space="preserve">Derrida 91–95; Vitale, </w:t>
      </w:r>
      <w:r>
        <w:rPr>
          <w:i/>
        </w:rPr>
        <w:t>Biodeconstruction</w:t>
      </w:r>
      <w:r>
        <w:t xml:space="preserve"> 91–101; Vitale, “Microphysics”). For Richard Dawkins, the gene is uniquely “immortal” because sex and death make organismic individuality fleeting, which immediately leads him to </w:t>
      </w:r>
      <w:r w:rsidR="00AA7624">
        <w:t>feel the need</w:t>
      </w:r>
      <w:r>
        <w:t xml:space="preserve"> to justify the existence of sex and death (Dawkins 40–44); why would there not simply be immortality forever? Though she would see her theory of evolution through symbiogenesis as fundamentally opposed to Dawkins’s “gene selectionism” (another apparent conflict of </w:t>
      </w:r>
      <w:proofErr w:type="spellStart"/>
      <w:r>
        <w:t>horizontalism</w:t>
      </w:r>
      <w:proofErr w:type="spellEnd"/>
      <w:r>
        <w:t xml:space="preserve"> and </w:t>
      </w:r>
      <w:proofErr w:type="spellStart"/>
      <w:r>
        <w:t>verticalism</w:t>
      </w:r>
      <w:proofErr w:type="spellEnd"/>
      <w:r>
        <w:t xml:space="preserve">), Lynn Margulis agrees with him in this respect, and even comes closest of all to recapitulating the biblical logic. Life is originally immortal and reproduces asexually, and it is the accidental advent of sexual reproduction that makes death follow: “The </w:t>
      </w:r>
      <w:r>
        <w:rPr>
          <w:i/>
        </w:rPr>
        <w:t>price</w:t>
      </w:r>
      <w:r>
        <w:t xml:space="preserve"> for ecstasy beyond identity—the sexuality that impels us to unite with each other and make a new being beyond ourselves—was high […] The parent bodies had to die” (Margulis and Sagan 126; emphasis added). Margulis and Sagan (mother and son) explicitly figure death as a punishment or retribution for sex, repaying a debt, guilt, or original sin. They have simply restated that </w:t>
      </w:r>
      <w:r w:rsidR="001561AC">
        <w:t>“</w:t>
      </w:r>
      <w:r>
        <w:t xml:space="preserve">the </w:t>
      </w:r>
      <w:proofErr w:type="gramStart"/>
      <w:r>
        <w:t>wages</w:t>
      </w:r>
      <w:proofErr w:type="gramEnd"/>
      <w:r>
        <w:t xml:space="preserve"> of sin is death</w:t>
      </w:r>
      <w:r w:rsidR="001561AC">
        <w:t>”</w:t>
      </w:r>
      <w:r>
        <w:t xml:space="preserve"> (Rom. 6:23). What this bio-logy shares with the Abrahamic faith, as if it were a faithful inheritor </w:t>
      </w:r>
      <w:sdt>
        <w:sdtPr>
          <w:tag w:val="goog_rdk_44"/>
          <w:id w:val="-1154600208"/>
        </w:sdtPr>
        <w:sdtContent/>
      </w:sdt>
      <w:r>
        <w:t xml:space="preserve">or a branch of its tree, is the belief in a life that would be originally undivided by sex or death, a sort of plenitude anchoring the origin and telos of life and science. Only if such a life were there, originally whole and self-identical, would it be possible </w:t>
      </w:r>
      <w:sdt>
        <w:sdtPr>
          <w:tag w:val="goog_rdk_45"/>
          <w:id w:val="-1124457461"/>
        </w:sdtPr>
        <w:sdtContent/>
      </w:sdt>
      <w:r>
        <w:t xml:space="preserve">for scientific knowledge to come along after it, to reconstruct its history; </w:t>
      </w:r>
      <w:proofErr w:type="gramStart"/>
      <w:r>
        <w:t>yet,</w:t>
      </w:r>
      <w:proofErr w:type="gramEnd"/>
      <w:r>
        <w:t xml:space="preserve"> such a life would make science impossible. It would never succumb to self-reflection nor even to history.</w:t>
      </w:r>
      <w:r w:rsidR="00471FC8">
        <w:t xml:space="preserve"> Life-science as life death.</w:t>
      </w:r>
    </w:p>
    <w:p w14:paraId="00000025" w14:textId="36D42221" w:rsidR="004F75A9" w:rsidRDefault="00000000">
      <w:r>
        <w:tab/>
        <w:t xml:space="preserve">This </w:t>
      </w:r>
      <w:r>
        <w:rPr>
          <w:i/>
        </w:rPr>
        <w:t>biological inheritance</w:t>
      </w:r>
      <w:r>
        <w:t xml:space="preserve">, our inheritance of biology from sources it cannot purely rationalize or internalize, would not have to stop here. For instance, as punishment for the serpent, </w:t>
      </w:r>
      <w:sdt>
        <w:sdtPr>
          <w:tag w:val="goog_rdk_46"/>
          <w:id w:val="-1981308"/>
        </w:sdtPr>
        <w:sdtContent/>
      </w:sdt>
      <w:r w:rsidR="00DE6F2B">
        <w:t>G</w:t>
      </w:r>
      <w:r>
        <w:t xml:space="preserve">od declares, “I will put enmity between you and the woman, / and between your offspring and hers” (Gen. 3:15). Proving just this, that the fear or hatred of snakes is an innate instinct for human beings and certain of our ancestors, has been an enduring obsession for evolutionary psychologists </w:t>
      </w:r>
      <w:r>
        <w:lastRenderedPageBreak/>
        <w:t xml:space="preserve">(Öhman; Kawai). When faced with recapitulations such as this, two paths seem to branch from a shared root, the place of a question. One could say, a bit triumphantly, that science had finally uncovered the rational ground of an intuitionistic mythopoietic tradition; a terror of snakes the author(s) of Genesis 3:15 sensed instinctually and explained in </w:t>
      </w:r>
      <w:sdt>
        <w:sdtPr>
          <w:tag w:val="goog_rdk_47"/>
          <w:id w:val="1866559761"/>
        </w:sdtPr>
        <w:sdtContent/>
      </w:sdt>
      <w:r>
        <w:t xml:space="preserve">fables can now </w:t>
      </w:r>
      <w:r w:rsidR="0026768F">
        <w:t xml:space="preserve">be </w:t>
      </w:r>
      <w:r>
        <w:t>provide</w:t>
      </w:r>
      <w:r w:rsidR="0026768F">
        <w:t>d</w:t>
      </w:r>
      <w:r w:rsidR="00B16769">
        <w:t xml:space="preserve"> with</w:t>
      </w:r>
      <w:r>
        <w:t xml:space="preserve"> a scientific deduction, grounded in first principles of evolutionary theory. On the other hand, second branch: our storied “science” might be just another inheritor or offspring of this tradition, it might relentlessly rediscover these mythic and metaphysical topoi not because they had one leg in a truth surpassing tradition but because we ourselves belong to their tradition and have yet to find a way beyond it or behind it.</w:t>
      </w:r>
      <w:r w:rsidR="00F679A5">
        <w:rPr>
          <w:rStyle w:val="FootnoteReference"/>
        </w:rPr>
        <w:footnoteReference w:id="8"/>
      </w:r>
      <w:r>
        <w:t xml:space="preserve"> We continue unconsciously to repeat or rediscover it. </w:t>
      </w:r>
    </w:p>
    <w:p w14:paraId="00000026" w14:textId="233075AF" w:rsidR="004F75A9" w:rsidRDefault="00000000">
      <w:pPr>
        <w:rPr>
          <w:i/>
        </w:rPr>
      </w:pPr>
      <w:r>
        <w:tab/>
        <w:t xml:space="preserve">When a biologist, today, forms a “Tree of Life,” and even does so despite </w:t>
      </w:r>
      <w:sdt>
        <w:sdtPr>
          <w:tag w:val="goog_rdk_48"/>
          <w:id w:val="329798205"/>
        </w:sdtPr>
        <w:sdtContent/>
      </w:sdt>
      <w:r>
        <w:t xml:space="preserve">themselves, whether or not they “believe” in it, what are they inheriting? Should we say they remain part of a biblical or Abrahamic tradition, if that “tradition” itself is defined by its lack of closure or self-identity, its barely hidden composite nature? Is it simply that “both” these roots, faith and knowledge, bear this family resemblance not because they grew from the same </w:t>
      </w:r>
      <w:r w:rsidR="003B4815">
        <w:t>source</w:t>
      </w:r>
      <w:r>
        <w:t xml:space="preserve"> but because they owe themselves to a common necessity re-instantiated always and everywhere? Even if this necessity is that of </w:t>
      </w:r>
      <w:sdt>
        <w:sdtPr>
          <w:tag w:val="goog_rdk_49"/>
          <w:id w:val="394780475"/>
        </w:sdtPr>
        <w:sdtContent/>
      </w:sdt>
      <w:r>
        <w:t xml:space="preserve">non-originary </w:t>
      </w:r>
      <w:proofErr w:type="spellStart"/>
      <w:r>
        <w:t>afterwardsness</w:t>
      </w:r>
      <w:proofErr w:type="spellEnd"/>
      <w:r>
        <w:t xml:space="preserve">, of being an inheritor without an original creator of the inheritance, a lack without </w:t>
      </w:r>
      <w:proofErr w:type="gramStart"/>
      <w:r>
        <w:t>fall</w:t>
      </w:r>
      <w:proofErr w:type="gramEnd"/>
      <w:r>
        <w:t xml:space="preserve"> or sin that has given what we know as life and science their chance and risk? We are always both too young and too old, in a Spring indistinguishable from Winter, to arrive at the sexual knowledge or sexual maturity that would make of us true genealogists, that would answer</w:t>
      </w:r>
      <w:r w:rsidR="00BF3632">
        <w:t xml:space="preserve"> the question of</w:t>
      </w:r>
      <w:r>
        <w:t xml:space="preserve"> </w:t>
      </w:r>
      <w:sdt>
        <w:sdtPr>
          <w:tag w:val="goog_rdk_50"/>
          <w:id w:val="1551733079"/>
        </w:sdtPr>
        <w:sdtContent/>
      </w:sdt>
      <w:r>
        <w:t>whether we receive this tree or</w:t>
      </w:r>
      <w:r w:rsidR="00BF3632">
        <w:t xml:space="preserve"> these</w:t>
      </w:r>
      <w:r>
        <w:t xml:space="preserve"> </w:t>
      </w:r>
      <w:sdt>
        <w:sdtPr>
          <w:tag w:val="goog_rdk_51"/>
          <w:id w:val="678619777"/>
        </w:sdtPr>
        <w:sdtContent/>
      </w:sdt>
      <w:r>
        <w:t>trees, of which we are a ripe fruit or barren branch, from structural necessity or chance inheritance. The answer itself depends on already possessing the knowledge that can only take form after a decision has been made, unjustifiably, calling upon both while pretending to stand on one side or the other. Structure or birth, synchrony or diachrony, science or life are no longer opposed possibilities if both take form around an alterity, lodged like a parasite under its skin or bark</w:t>
      </w:r>
      <w:r w:rsidR="00B22AB6">
        <w:t xml:space="preserve"> (</w:t>
      </w:r>
      <w:proofErr w:type="spellStart"/>
      <w:r w:rsidR="00B22AB6">
        <w:t>its</w:t>
      </w:r>
      <w:proofErr w:type="spellEnd"/>
      <w:r w:rsidR="00B22AB6">
        <w:t xml:space="preserve"> </w:t>
      </w:r>
      <w:proofErr w:type="spellStart"/>
      <w:r w:rsidR="00B22AB6">
        <w:rPr>
          <w:i/>
          <w:iCs/>
        </w:rPr>
        <w:t>biblos</w:t>
      </w:r>
      <w:proofErr w:type="spellEnd"/>
      <w:r w:rsidR="00B22AB6">
        <w:t>)</w:t>
      </w:r>
      <w:r>
        <w:t xml:space="preserve">, suggesting an outside within, a science or philosophy presupposed by history, an inheritance presupposed by science. This is what it would mean for the Tree of Life to already be a Tree of Science, without either ever simply being </w:t>
      </w:r>
      <w:r>
        <w:rPr>
          <w:i/>
        </w:rPr>
        <w:t>a</w:t>
      </w:r>
      <w:r>
        <w:t xml:space="preserve"> tree at all. Life-science, neither two nor one.   </w:t>
      </w:r>
    </w:p>
    <w:p w14:paraId="00000027" w14:textId="77777777" w:rsidR="004F75A9" w:rsidRDefault="00000000">
      <w:r>
        <w:br w:type="page"/>
      </w:r>
    </w:p>
    <w:p w14:paraId="00000028" w14:textId="77777777" w:rsidR="004F75A9" w:rsidRDefault="00000000">
      <w:pPr>
        <w:rPr>
          <w:b/>
        </w:rPr>
      </w:pPr>
      <w:r>
        <w:rPr>
          <w:b/>
        </w:rPr>
        <w:lastRenderedPageBreak/>
        <w:t>Works Cited</w:t>
      </w:r>
    </w:p>
    <w:p w14:paraId="00000029" w14:textId="77777777" w:rsidR="004F75A9" w:rsidRDefault="00000000">
      <w:pPr>
        <w:pBdr>
          <w:top w:val="nil"/>
          <w:left w:val="nil"/>
          <w:bottom w:val="nil"/>
          <w:right w:val="nil"/>
          <w:between w:val="nil"/>
        </w:pBdr>
        <w:ind w:left="720" w:hanging="720"/>
        <w:rPr>
          <w:color w:val="000000"/>
        </w:rPr>
      </w:pPr>
      <w:r>
        <w:rPr>
          <w:color w:val="000000"/>
        </w:rPr>
        <w:t xml:space="preserve">Aristotle. </w:t>
      </w:r>
      <w:r>
        <w:rPr>
          <w:i/>
          <w:color w:val="000000"/>
        </w:rPr>
        <w:t>On the Soul</w:t>
      </w:r>
      <w:r>
        <w:rPr>
          <w:color w:val="000000"/>
        </w:rPr>
        <w:t>. Translated by W. S. Hett, Harvard University Press, 1957, http://www.loebclassics.com/view/aristotle-soul/1957/work.xml.</w:t>
      </w:r>
    </w:p>
    <w:p w14:paraId="0000002B" w14:textId="77777777" w:rsidR="004F75A9" w:rsidRDefault="00000000">
      <w:pPr>
        <w:pBdr>
          <w:top w:val="nil"/>
          <w:left w:val="nil"/>
          <w:bottom w:val="nil"/>
          <w:right w:val="nil"/>
          <w:between w:val="nil"/>
        </w:pBdr>
        <w:ind w:left="720" w:hanging="720"/>
        <w:rPr>
          <w:color w:val="000000"/>
        </w:rPr>
      </w:pPr>
      <w:r>
        <w:rPr>
          <w:color w:val="000000"/>
        </w:rPr>
        <w:t xml:space="preserve">Bal, Mieke. “Sexuality, Sin and Sorrow: The Emergence of the Female Character (A Reading of Genesis 1-3).” </w:t>
      </w:r>
      <w:r>
        <w:rPr>
          <w:i/>
          <w:color w:val="000000"/>
        </w:rPr>
        <w:t>Poetics Today</w:t>
      </w:r>
      <w:r>
        <w:rPr>
          <w:color w:val="000000"/>
        </w:rPr>
        <w:t>, vol. 6, no. 1/2, 1985, pp. 21–42, https://doi.org/10.2307/1772119. JSTOR.</w:t>
      </w:r>
    </w:p>
    <w:p w14:paraId="0000002C" w14:textId="77777777" w:rsidR="004F75A9" w:rsidRDefault="00000000">
      <w:pPr>
        <w:pBdr>
          <w:top w:val="nil"/>
          <w:left w:val="nil"/>
          <w:bottom w:val="nil"/>
          <w:right w:val="nil"/>
          <w:between w:val="nil"/>
        </w:pBdr>
        <w:ind w:left="720" w:hanging="720"/>
        <w:rPr>
          <w:color w:val="000000"/>
        </w:rPr>
      </w:pPr>
      <w:r>
        <w:rPr>
          <w:color w:val="000000"/>
        </w:rPr>
        <w:t xml:space="preserve">Basile, Jonathan. “Symbioautothanatosis: Science as Symbiont in the Work of Lynn Margulis.” </w:t>
      </w:r>
      <w:proofErr w:type="spellStart"/>
      <w:r>
        <w:rPr>
          <w:i/>
          <w:color w:val="000000"/>
        </w:rPr>
        <w:t>Síntesis</w:t>
      </w:r>
      <w:proofErr w:type="spellEnd"/>
      <w:r>
        <w:rPr>
          <w:i/>
          <w:color w:val="000000"/>
        </w:rPr>
        <w:t xml:space="preserve">: </w:t>
      </w:r>
      <w:proofErr w:type="spellStart"/>
      <w:r>
        <w:rPr>
          <w:i/>
          <w:color w:val="000000"/>
        </w:rPr>
        <w:t>Revista</w:t>
      </w:r>
      <w:proofErr w:type="spellEnd"/>
      <w:r>
        <w:rPr>
          <w:i/>
          <w:color w:val="000000"/>
        </w:rPr>
        <w:t xml:space="preserve"> de </w:t>
      </w:r>
      <w:proofErr w:type="spellStart"/>
      <w:r>
        <w:rPr>
          <w:i/>
          <w:color w:val="000000"/>
        </w:rPr>
        <w:t>Filosofía</w:t>
      </w:r>
      <w:proofErr w:type="spellEnd"/>
      <w:r>
        <w:rPr>
          <w:color w:val="000000"/>
        </w:rPr>
        <w:t>, vol. 4, no. 2, 2021, pp. 60–86.</w:t>
      </w:r>
    </w:p>
    <w:p w14:paraId="0000002D" w14:textId="77777777" w:rsidR="004F75A9" w:rsidRDefault="00000000">
      <w:pPr>
        <w:pBdr>
          <w:top w:val="nil"/>
          <w:left w:val="nil"/>
          <w:bottom w:val="nil"/>
          <w:right w:val="nil"/>
          <w:between w:val="nil"/>
        </w:pBdr>
        <w:ind w:left="720" w:hanging="720"/>
        <w:rPr>
          <w:color w:val="000000"/>
        </w:rPr>
      </w:pPr>
      <w:r>
        <w:rPr>
          <w:color w:val="000000"/>
        </w:rPr>
        <w:t xml:space="preserve">---. </w:t>
      </w:r>
      <w:r>
        <w:rPr>
          <w:i/>
          <w:color w:val="000000"/>
        </w:rPr>
        <w:t>Virality Vitality</w:t>
      </w:r>
      <w:r>
        <w:rPr>
          <w:color w:val="000000"/>
        </w:rPr>
        <w:t>. SUNY Press, forthcoming.</w:t>
      </w:r>
    </w:p>
    <w:p w14:paraId="0000002E" w14:textId="77777777" w:rsidR="004F75A9" w:rsidRDefault="00000000">
      <w:pPr>
        <w:pBdr>
          <w:top w:val="nil"/>
          <w:left w:val="nil"/>
          <w:bottom w:val="nil"/>
          <w:right w:val="nil"/>
          <w:between w:val="nil"/>
        </w:pBdr>
        <w:ind w:left="720" w:hanging="720"/>
        <w:rPr>
          <w:color w:val="000000"/>
        </w:rPr>
      </w:pPr>
      <w:r>
        <w:rPr>
          <w:color w:val="000000"/>
        </w:rPr>
        <w:t xml:space="preserve">Budde, Karl. </w:t>
      </w:r>
      <w:r>
        <w:rPr>
          <w:i/>
          <w:color w:val="000000"/>
        </w:rPr>
        <w:t xml:space="preserve">Die </w:t>
      </w:r>
      <w:proofErr w:type="spellStart"/>
      <w:r>
        <w:rPr>
          <w:i/>
          <w:color w:val="000000"/>
        </w:rPr>
        <w:t>Biblische</w:t>
      </w:r>
      <w:proofErr w:type="spellEnd"/>
      <w:r>
        <w:rPr>
          <w:i/>
          <w:color w:val="000000"/>
        </w:rPr>
        <w:t xml:space="preserve"> </w:t>
      </w:r>
      <w:proofErr w:type="spellStart"/>
      <w:r>
        <w:rPr>
          <w:i/>
          <w:color w:val="000000"/>
        </w:rPr>
        <w:t>Urgeschichte</w:t>
      </w:r>
      <w:proofErr w:type="spellEnd"/>
      <w:r>
        <w:rPr>
          <w:i/>
          <w:color w:val="000000"/>
        </w:rPr>
        <w:t xml:space="preserve"> (Gen. 1-12, 5)</w:t>
      </w:r>
      <w:r>
        <w:rPr>
          <w:color w:val="000000"/>
        </w:rPr>
        <w:t xml:space="preserve">. J. </w:t>
      </w:r>
      <w:proofErr w:type="spellStart"/>
      <w:r>
        <w:rPr>
          <w:color w:val="000000"/>
        </w:rPr>
        <w:t>Ricker’sche</w:t>
      </w:r>
      <w:proofErr w:type="spellEnd"/>
      <w:r>
        <w:rPr>
          <w:color w:val="000000"/>
        </w:rPr>
        <w:t xml:space="preserve"> </w:t>
      </w:r>
      <w:proofErr w:type="spellStart"/>
      <w:r>
        <w:rPr>
          <w:color w:val="000000"/>
        </w:rPr>
        <w:t>Buchhandlung</w:t>
      </w:r>
      <w:proofErr w:type="spellEnd"/>
      <w:r>
        <w:rPr>
          <w:color w:val="000000"/>
        </w:rPr>
        <w:t>, 1883.</w:t>
      </w:r>
    </w:p>
    <w:p w14:paraId="5E3C0A76" w14:textId="77777777" w:rsidR="00077778" w:rsidRPr="00077778" w:rsidRDefault="00077778" w:rsidP="00077778">
      <w:pPr>
        <w:pBdr>
          <w:top w:val="nil"/>
          <w:left w:val="nil"/>
          <w:bottom w:val="nil"/>
          <w:right w:val="nil"/>
          <w:between w:val="nil"/>
        </w:pBdr>
        <w:ind w:left="720" w:hanging="720"/>
        <w:rPr>
          <w:color w:val="000000"/>
        </w:rPr>
      </w:pPr>
      <w:r w:rsidRPr="00077778">
        <w:rPr>
          <w:color w:val="000000"/>
        </w:rPr>
        <w:t xml:space="preserve">Darwin, Charles. </w:t>
      </w:r>
      <w:r w:rsidRPr="00077778">
        <w:rPr>
          <w:i/>
          <w:iCs/>
          <w:color w:val="000000"/>
        </w:rPr>
        <w:t>On the Origin of Species</w:t>
      </w:r>
      <w:r w:rsidRPr="00077778">
        <w:rPr>
          <w:color w:val="000000"/>
        </w:rPr>
        <w:t>. Edited by Gillian Beer, Oxford UP, 2008.</w:t>
      </w:r>
    </w:p>
    <w:p w14:paraId="00000030" w14:textId="77777777" w:rsidR="004F75A9" w:rsidRDefault="00000000">
      <w:pPr>
        <w:pBdr>
          <w:top w:val="nil"/>
          <w:left w:val="nil"/>
          <w:bottom w:val="nil"/>
          <w:right w:val="nil"/>
          <w:between w:val="nil"/>
        </w:pBdr>
        <w:ind w:left="720" w:hanging="720"/>
        <w:rPr>
          <w:color w:val="000000"/>
        </w:rPr>
      </w:pPr>
      <w:r>
        <w:rPr>
          <w:color w:val="000000"/>
        </w:rPr>
        <w:t xml:space="preserve">Dawkins, Richard. </w:t>
      </w:r>
      <w:r>
        <w:rPr>
          <w:i/>
          <w:color w:val="000000"/>
        </w:rPr>
        <w:t>The Selfish Gene</w:t>
      </w:r>
      <w:r>
        <w:rPr>
          <w:color w:val="000000"/>
        </w:rPr>
        <w:t>. 30th Anniversary Ed., Oxford UP, 2006.</w:t>
      </w:r>
    </w:p>
    <w:p w14:paraId="00000031" w14:textId="77777777" w:rsidR="004F75A9" w:rsidRDefault="00000000">
      <w:pPr>
        <w:pBdr>
          <w:top w:val="nil"/>
          <w:left w:val="nil"/>
          <w:bottom w:val="nil"/>
          <w:right w:val="nil"/>
          <w:between w:val="nil"/>
        </w:pBdr>
        <w:ind w:left="720" w:hanging="720"/>
        <w:rPr>
          <w:color w:val="000000"/>
        </w:rPr>
      </w:pPr>
      <w:r>
        <w:rPr>
          <w:color w:val="000000"/>
        </w:rPr>
        <w:t xml:space="preserve">Derrida, Jacques. </w:t>
      </w:r>
      <w:r>
        <w:rPr>
          <w:i/>
          <w:color w:val="000000"/>
        </w:rPr>
        <w:t>Life Death</w:t>
      </w:r>
      <w:r>
        <w:rPr>
          <w:color w:val="000000"/>
        </w:rPr>
        <w:t>. Edited by Peggy Kamuf, Translated by Pascale-Anne Brault and Michael Naas, University of Chicago Press, 2020.</w:t>
      </w:r>
    </w:p>
    <w:p w14:paraId="57197AB1" w14:textId="7400331A" w:rsidR="00282921" w:rsidRDefault="00282921" w:rsidP="00282921">
      <w:pPr>
        <w:pBdr>
          <w:top w:val="nil"/>
          <w:left w:val="nil"/>
          <w:bottom w:val="nil"/>
          <w:right w:val="nil"/>
          <w:between w:val="nil"/>
        </w:pBdr>
        <w:ind w:left="720" w:hanging="720"/>
        <w:rPr>
          <w:color w:val="000000"/>
        </w:rPr>
      </w:pPr>
      <w:proofErr w:type="spellStart"/>
      <w:r w:rsidRPr="00282921">
        <w:rPr>
          <w:color w:val="000000"/>
        </w:rPr>
        <w:t>Forterre</w:t>
      </w:r>
      <w:proofErr w:type="spellEnd"/>
      <w:r w:rsidRPr="00282921">
        <w:rPr>
          <w:color w:val="000000"/>
        </w:rPr>
        <w:t xml:space="preserve">, Patrick. “Darwin’s Goldmine Is Still Open: Variation and Selection Run the World.” </w:t>
      </w:r>
      <w:r w:rsidRPr="00282921">
        <w:rPr>
          <w:i/>
          <w:iCs/>
          <w:color w:val="000000"/>
        </w:rPr>
        <w:t>Frontiers in Cellular and Infection Microbiology</w:t>
      </w:r>
      <w:r w:rsidRPr="00282921">
        <w:rPr>
          <w:color w:val="000000"/>
        </w:rPr>
        <w:t xml:space="preserve">, vol. 2, 2012, pp. 1–13, </w:t>
      </w:r>
      <w:hyperlink r:id="rId7" w:history="1">
        <w:r w:rsidRPr="00282921">
          <w:rPr>
            <w:rStyle w:val="Hyperlink"/>
          </w:rPr>
          <w:t>https://doi.org/10.3389/fcimb.2012.00106</w:t>
        </w:r>
      </w:hyperlink>
      <w:r w:rsidRPr="00282921">
        <w:rPr>
          <w:color w:val="000000"/>
        </w:rPr>
        <w:t>.</w:t>
      </w:r>
    </w:p>
    <w:p w14:paraId="00000032" w14:textId="77777777" w:rsidR="004F75A9" w:rsidRDefault="00000000">
      <w:pPr>
        <w:pBdr>
          <w:top w:val="nil"/>
          <w:left w:val="nil"/>
          <w:bottom w:val="nil"/>
          <w:right w:val="nil"/>
          <w:between w:val="nil"/>
        </w:pBdr>
        <w:ind w:left="720" w:hanging="720"/>
        <w:rPr>
          <w:color w:val="000000"/>
        </w:rPr>
      </w:pPr>
      <w:r>
        <w:rPr>
          <w:color w:val="000000"/>
        </w:rPr>
        <w:t xml:space="preserve">Gordis, Robert. “The Knowledge of Good and Evil in the Old Testament and the Qumran Scrolls.” </w:t>
      </w:r>
      <w:r>
        <w:rPr>
          <w:i/>
          <w:color w:val="000000"/>
        </w:rPr>
        <w:t>Journal of Biblical Literature</w:t>
      </w:r>
      <w:r>
        <w:rPr>
          <w:color w:val="000000"/>
        </w:rPr>
        <w:t>, vol. 76, no. 2, 1957, pp. 123–38, https://doi.org/10.2307/3261283. JSTOR.</w:t>
      </w:r>
    </w:p>
    <w:p w14:paraId="00000033" w14:textId="77777777" w:rsidR="004F75A9" w:rsidRDefault="00000000">
      <w:pPr>
        <w:pBdr>
          <w:top w:val="nil"/>
          <w:left w:val="nil"/>
          <w:bottom w:val="nil"/>
          <w:right w:val="nil"/>
          <w:between w:val="nil"/>
        </w:pBdr>
        <w:ind w:left="720" w:hanging="720"/>
        <w:rPr>
          <w:color w:val="000000"/>
        </w:rPr>
      </w:pPr>
      <w:r>
        <w:rPr>
          <w:color w:val="000000"/>
        </w:rPr>
        <w:t xml:space="preserve">---. “The Significance of the Paradise Myth.” </w:t>
      </w:r>
      <w:r>
        <w:rPr>
          <w:i/>
          <w:color w:val="000000"/>
        </w:rPr>
        <w:t>The American Journal of Semitic Languages and Literatures</w:t>
      </w:r>
      <w:r>
        <w:rPr>
          <w:color w:val="000000"/>
        </w:rPr>
        <w:t>, vol. 52, no. 2, 1936, pp. 86–94. JSTOR.</w:t>
      </w:r>
    </w:p>
    <w:p w14:paraId="5401F5B5" w14:textId="5DD61DD2" w:rsidR="006726E7" w:rsidRDefault="006726E7" w:rsidP="006726E7">
      <w:pPr>
        <w:pBdr>
          <w:top w:val="nil"/>
          <w:left w:val="nil"/>
          <w:bottom w:val="nil"/>
          <w:right w:val="nil"/>
          <w:between w:val="nil"/>
        </w:pBdr>
        <w:ind w:left="720" w:hanging="720"/>
        <w:rPr>
          <w:color w:val="000000"/>
        </w:rPr>
      </w:pPr>
      <w:r w:rsidRPr="006726E7">
        <w:rPr>
          <w:color w:val="000000"/>
        </w:rPr>
        <w:t xml:space="preserve">Jacob, François. </w:t>
      </w:r>
      <w:r w:rsidRPr="006726E7">
        <w:rPr>
          <w:i/>
          <w:iCs/>
          <w:color w:val="000000"/>
        </w:rPr>
        <w:t>The Logic of Life: A History of Heredity</w:t>
      </w:r>
      <w:r w:rsidRPr="006726E7">
        <w:rPr>
          <w:color w:val="000000"/>
        </w:rPr>
        <w:t xml:space="preserve">. Translated by Betty E. </w:t>
      </w:r>
      <w:proofErr w:type="spellStart"/>
      <w:r w:rsidRPr="006726E7">
        <w:rPr>
          <w:color w:val="000000"/>
        </w:rPr>
        <w:t>Spillmann</w:t>
      </w:r>
      <w:proofErr w:type="spellEnd"/>
      <w:r w:rsidRPr="006726E7">
        <w:rPr>
          <w:color w:val="000000"/>
        </w:rPr>
        <w:t>, Princeton University Press, 1993.</w:t>
      </w:r>
    </w:p>
    <w:p w14:paraId="00000034" w14:textId="77777777" w:rsidR="004F75A9" w:rsidRDefault="00000000">
      <w:pPr>
        <w:pBdr>
          <w:top w:val="nil"/>
          <w:left w:val="nil"/>
          <w:bottom w:val="nil"/>
          <w:right w:val="nil"/>
          <w:between w:val="nil"/>
        </w:pBdr>
        <w:ind w:left="720" w:hanging="720"/>
        <w:rPr>
          <w:color w:val="000000"/>
        </w:rPr>
      </w:pPr>
      <w:r>
        <w:rPr>
          <w:color w:val="000000"/>
        </w:rPr>
        <w:t xml:space="preserve">Kawai, Nobuyuki. </w:t>
      </w:r>
      <w:r>
        <w:rPr>
          <w:i/>
          <w:color w:val="000000"/>
        </w:rPr>
        <w:t>The Fear of Snakes: Evolutionary and Psychobiological Perspectives on Our Innate Fear</w:t>
      </w:r>
      <w:r>
        <w:rPr>
          <w:color w:val="000000"/>
        </w:rPr>
        <w:t>. Springer, 2019, https://doi.org/10.1007/978-981-13-7530-9.</w:t>
      </w:r>
    </w:p>
    <w:p w14:paraId="00000035" w14:textId="77777777" w:rsidR="004F75A9" w:rsidRDefault="00000000">
      <w:pPr>
        <w:pBdr>
          <w:top w:val="nil"/>
          <w:left w:val="nil"/>
          <w:bottom w:val="nil"/>
          <w:right w:val="nil"/>
          <w:between w:val="nil"/>
        </w:pBdr>
        <w:ind w:left="720" w:hanging="720"/>
        <w:rPr>
          <w:color w:val="000000"/>
        </w:rPr>
      </w:pPr>
      <w:proofErr w:type="spellStart"/>
      <w:r>
        <w:rPr>
          <w:color w:val="000000"/>
        </w:rPr>
        <w:t>Koonin</w:t>
      </w:r>
      <w:proofErr w:type="spellEnd"/>
      <w:r>
        <w:rPr>
          <w:color w:val="000000"/>
        </w:rPr>
        <w:t xml:space="preserve">, Eugene V. </w:t>
      </w:r>
      <w:r>
        <w:rPr>
          <w:i/>
          <w:color w:val="000000"/>
        </w:rPr>
        <w:t>The Logic of Chance: The Nature and Origin of Biological Evolution</w:t>
      </w:r>
      <w:r>
        <w:rPr>
          <w:color w:val="000000"/>
        </w:rPr>
        <w:t>. Pearson Education, 2011.</w:t>
      </w:r>
    </w:p>
    <w:p w14:paraId="00000036" w14:textId="77777777" w:rsidR="004F75A9" w:rsidRDefault="00000000">
      <w:pPr>
        <w:pBdr>
          <w:top w:val="nil"/>
          <w:left w:val="nil"/>
          <w:bottom w:val="nil"/>
          <w:right w:val="nil"/>
          <w:between w:val="nil"/>
        </w:pBdr>
        <w:ind w:left="720" w:hanging="720"/>
        <w:rPr>
          <w:color w:val="000000"/>
        </w:rPr>
      </w:pPr>
      <w:r>
        <w:rPr>
          <w:color w:val="000000"/>
        </w:rPr>
        <w:t>Levy, Ludwig. “</w:t>
      </w:r>
      <w:proofErr w:type="spellStart"/>
      <w:r>
        <w:rPr>
          <w:color w:val="000000"/>
        </w:rPr>
        <w:t>Sexualsymbolik</w:t>
      </w:r>
      <w:proofErr w:type="spellEnd"/>
      <w:r>
        <w:rPr>
          <w:color w:val="000000"/>
        </w:rPr>
        <w:t xml:space="preserve"> in der </w:t>
      </w:r>
      <w:proofErr w:type="spellStart"/>
      <w:r>
        <w:rPr>
          <w:color w:val="000000"/>
        </w:rPr>
        <w:t>biblischen</w:t>
      </w:r>
      <w:proofErr w:type="spellEnd"/>
      <w:r>
        <w:rPr>
          <w:color w:val="000000"/>
        </w:rPr>
        <w:t xml:space="preserve"> </w:t>
      </w:r>
      <w:proofErr w:type="spellStart"/>
      <w:r>
        <w:rPr>
          <w:color w:val="000000"/>
        </w:rPr>
        <w:t>Paradiesgeschichte</w:t>
      </w:r>
      <w:proofErr w:type="spellEnd"/>
      <w:r>
        <w:rPr>
          <w:color w:val="000000"/>
        </w:rPr>
        <w:t xml:space="preserve">.” </w:t>
      </w:r>
      <w:r>
        <w:rPr>
          <w:i/>
          <w:color w:val="000000"/>
        </w:rPr>
        <w:t>Imago</w:t>
      </w:r>
      <w:r>
        <w:rPr>
          <w:color w:val="000000"/>
        </w:rPr>
        <w:t>, vol. V, 1919 1917, pp. 16–30.</w:t>
      </w:r>
    </w:p>
    <w:p w14:paraId="00000037" w14:textId="77777777" w:rsidR="004F75A9" w:rsidRDefault="00000000">
      <w:pPr>
        <w:pBdr>
          <w:top w:val="nil"/>
          <w:left w:val="nil"/>
          <w:bottom w:val="nil"/>
          <w:right w:val="nil"/>
          <w:between w:val="nil"/>
        </w:pBdr>
        <w:ind w:left="720" w:hanging="720"/>
        <w:rPr>
          <w:color w:val="000000"/>
        </w:rPr>
      </w:pPr>
      <w:r>
        <w:rPr>
          <w:color w:val="000000"/>
        </w:rPr>
        <w:t xml:space="preserve">Margulis, Lynn, and Dorion Sagan. </w:t>
      </w:r>
      <w:r>
        <w:rPr>
          <w:i/>
          <w:color w:val="000000"/>
        </w:rPr>
        <w:t>What Is Sex?</w:t>
      </w:r>
      <w:r>
        <w:rPr>
          <w:color w:val="000000"/>
        </w:rPr>
        <w:t xml:space="preserve"> Simon &amp; Schuster, 1997.</w:t>
      </w:r>
    </w:p>
    <w:p w14:paraId="00000038" w14:textId="77777777" w:rsidR="004F75A9" w:rsidRDefault="00000000">
      <w:pPr>
        <w:pBdr>
          <w:top w:val="nil"/>
          <w:left w:val="nil"/>
          <w:bottom w:val="nil"/>
          <w:right w:val="nil"/>
          <w:between w:val="nil"/>
        </w:pBdr>
        <w:ind w:left="720" w:hanging="720"/>
        <w:rPr>
          <w:color w:val="000000"/>
        </w:rPr>
      </w:pPr>
      <w:r>
        <w:rPr>
          <w:color w:val="000000"/>
        </w:rPr>
        <w:t xml:space="preserve">Milton, John. </w:t>
      </w:r>
      <w:r>
        <w:rPr>
          <w:i/>
          <w:color w:val="000000"/>
        </w:rPr>
        <w:t>Paradise Lost</w:t>
      </w:r>
      <w:r>
        <w:rPr>
          <w:color w:val="000000"/>
        </w:rPr>
        <w:t>. Oxford UP, 2005.</w:t>
      </w:r>
    </w:p>
    <w:p w14:paraId="00000039" w14:textId="77777777" w:rsidR="004F75A9" w:rsidRDefault="00000000">
      <w:pPr>
        <w:pBdr>
          <w:top w:val="nil"/>
          <w:left w:val="nil"/>
          <w:bottom w:val="nil"/>
          <w:right w:val="nil"/>
          <w:between w:val="nil"/>
        </w:pBdr>
        <w:ind w:left="720" w:hanging="720"/>
        <w:rPr>
          <w:color w:val="000000"/>
        </w:rPr>
      </w:pPr>
      <w:r>
        <w:rPr>
          <w:color w:val="000000"/>
        </w:rPr>
        <w:t xml:space="preserve">Öhman, Arne. “Of Snakes and Faces: An Evolutionary Perspective on the Psychology of Fear.” </w:t>
      </w:r>
      <w:r>
        <w:rPr>
          <w:i/>
          <w:color w:val="000000"/>
        </w:rPr>
        <w:t>Scandinavian Journal of Psychology</w:t>
      </w:r>
      <w:r>
        <w:rPr>
          <w:color w:val="000000"/>
        </w:rPr>
        <w:t>, vol. 50, no. 6, Dec. 2009, pp. 543–52, https://doi.org/10.1111/j.1467-9450.2009.00784.x.</w:t>
      </w:r>
    </w:p>
    <w:p w14:paraId="0000003A" w14:textId="6DC81137" w:rsidR="004F75A9" w:rsidRDefault="00000000">
      <w:pPr>
        <w:pBdr>
          <w:top w:val="nil"/>
          <w:left w:val="nil"/>
          <w:bottom w:val="nil"/>
          <w:right w:val="nil"/>
          <w:between w:val="nil"/>
        </w:pBdr>
        <w:ind w:left="720" w:hanging="720"/>
        <w:rPr>
          <w:color w:val="000000"/>
        </w:rPr>
      </w:pPr>
      <w:proofErr w:type="spellStart"/>
      <w:r>
        <w:rPr>
          <w:color w:val="000000"/>
        </w:rPr>
        <w:t>Oikkonen</w:t>
      </w:r>
      <w:proofErr w:type="spellEnd"/>
      <w:r>
        <w:rPr>
          <w:color w:val="000000"/>
        </w:rPr>
        <w:t xml:space="preserve">, Venla. “Mitochondrial Eve and the Affective Politics of Scientific Technologies.” </w:t>
      </w:r>
      <w:r>
        <w:rPr>
          <w:i/>
          <w:color w:val="000000"/>
        </w:rPr>
        <w:t>Population Genetics and Belonging: A Cultural Analysis of Genetic Ancestry</w:t>
      </w:r>
      <w:r>
        <w:rPr>
          <w:color w:val="000000"/>
        </w:rPr>
        <w:t xml:space="preserve">, Springer International Publishing, 2018, pp. 23–71, </w:t>
      </w:r>
      <w:hyperlink r:id="rId8" w:history="1">
        <w:r w:rsidR="00282921" w:rsidRPr="00334D42">
          <w:rPr>
            <w:rStyle w:val="Hyperlink"/>
          </w:rPr>
          <w:t>https://doi.org/10.1007/978-3-319-62881-3_2</w:t>
        </w:r>
      </w:hyperlink>
      <w:r>
        <w:rPr>
          <w:color w:val="000000"/>
        </w:rPr>
        <w:t>.</w:t>
      </w:r>
    </w:p>
    <w:p w14:paraId="75B920DA" w14:textId="26A5F731" w:rsidR="00282921" w:rsidRDefault="00282921" w:rsidP="00282921">
      <w:pPr>
        <w:pBdr>
          <w:top w:val="nil"/>
          <w:left w:val="nil"/>
          <w:bottom w:val="nil"/>
          <w:right w:val="nil"/>
          <w:between w:val="nil"/>
        </w:pBdr>
        <w:ind w:left="720" w:hanging="720"/>
        <w:rPr>
          <w:color w:val="000000"/>
        </w:rPr>
      </w:pPr>
      <w:r w:rsidRPr="00282921">
        <w:rPr>
          <w:color w:val="000000"/>
        </w:rPr>
        <w:t xml:space="preserve">Penny, David. “Darwin’s Theory of Descent with Modification, versus the Biblical Tree of Life.” </w:t>
      </w:r>
      <w:r w:rsidRPr="00282921">
        <w:rPr>
          <w:i/>
          <w:iCs/>
          <w:color w:val="000000"/>
        </w:rPr>
        <w:t>PLOS Biology</w:t>
      </w:r>
      <w:r w:rsidRPr="00282921">
        <w:rPr>
          <w:color w:val="000000"/>
        </w:rPr>
        <w:t xml:space="preserve">, vol. 9, no. 7, July 2011, </w:t>
      </w:r>
      <w:hyperlink r:id="rId9" w:history="1">
        <w:r w:rsidRPr="00282921">
          <w:rPr>
            <w:rStyle w:val="Hyperlink"/>
          </w:rPr>
          <w:t>https://doi.org/10.1371/journal.pbio.1001096</w:t>
        </w:r>
      </w:hyperlink>
      <w:r w:rsidRPr="00282921">
        <w:rPr>
          <w:color w:val="000000"/>
        </w:rPr>
        <w:t>.</w:t>
      </w:r>
    </w:p>
    <w:p w14:paraId="0000003B" w14:textId="77777777" w:rsidR="004F75A9" w:rsidRDefault="00000000">
      <w:pPr>
        <w:pBdr>
          <w:top w:val="nil"/>
          <w:left w:val="nil"/>
          <w:bottom w:val="nil"/>
          <w:right w:val="nil"/>
          <w:between w:val="nil"/>
        </w:pBdr>
        <w:ind w:left="720" w:hanging="720"/>
        <w:rPr>
          <w:color w:val="000000"/>
        </w:rPr>
      </w:pPr>
      <w:r>
        <w:rPr>
          <w:color w:val="000000"/>
        </w:rPr>
        <w:t xml:space="preserve">Ragan, Mark A. “Trees and Networks before and after Darwin.” </w:t>
      </w:r>
      <w:r>
        <w:rPr>
          <w:i/>
          <w:color w:val="000000"/>
        </w:rPr>
        <w:t>Biology Direct</w:t>
      </w:r>
      <w:r>
        <w:rPr>
          <w:color w:val="000000"/>
        </w:rPr>
        <w:t>, vol. 4, no. 1, Nov. 2009, p. 43, https://doi.org/10.1186/1745-6150-4-43.</w:t>
      </w:r>
    </w:p>
    <w:p w14:paraId="0000003C" w14:textId="77777777" w:rsidR="004F75A9" w:rsidRDefault="00000000">
      <w:pPr>
        <w:pBdr>
          <w:top w:val="nil"/>
          <w:left w:val="nil"/>
          <w:bottom w:val="nil"/>
          <w:right w:val="nil"/>
          <w:between w:val="nil"/>
        </w:pBdr>
        <w:ind w:left="720" w:hanging="720"/>
        <w:rPr>
          <w:color w:val="000000"/>
        </w:rPr>
      </w:pPr>
      <w:proofErr w:type="spellStart"/>
      <w:r>
        <w:rPr>
          <w:color w:val="000000"/>
        </w:rPr>
        <w:t>Rasimus</w:t>
      </w:r>
      <w:proofErr w:type="spellEnd"/>
      <w:r>
        <w:rPr>
          <w:color w:val="000000"/>
        </w:rPr>
        <w:t xml:space="preserve">, Tuomas. </w:t>
      </w:r>
      <w:r>
        <w:rPr>
          <w:i/>
          <w:color w:val="000000"/>
        </w:rPr>
        <w:t>Paradise Reconsidered in Gnostic Mythmaking</w:t>
      </w:r>
      <w:r>
        <w:rPr>
          <w:color w:val="000000"/>
        </w:rPr>
        <w:t>. Brill, 2009.</w:t>
      </w:r>
    </w:p>
    <w:p w14:paraId="07E43EB0" w14:textId="2DE019DE" w:rsidR="00E71C14" w:rsidRPr="00E71C14" w:rsidRDefault="00E71C14" w:rsidP="00E71C14">
      <w:pPr>
        <w:pBdr>
          <w:top w:val="nil"/>
          <w:left w:val="nil"/>
          <w:bottom w:val="nil"/>
          <w:right w:val="nil"/>
          <w:between w:val="nil"/>
        </w:pBdr>
        <w:ind w:left="720" w:hanging="720"/>
        <w:rPr>
          <w:color w:val="000000"/>
        </w:rPr>
      </w:pPr>
      <w:r>
        <w:rPr>
          <w:i/>
          <w:iCs/>
          <w:color w:val="000000"/>
        </w:rPr>
        <w:t xml:space="preserve">The SBL Study Bible. </w:t>
      </w:r>
      <w:r>
        <w:rPr>
          <w:color w:val="000000"/>
        </w:rPr>
        <w:t>New Revised Standard Version, Updated Edition</w:t>
      </w:r>
      <w:r w:rsidR="003F271E">
        <w:rPr>
          <w:color w:val="000000"/>
        </w:rPr>
        <w:t>, HarperCollins, 2023.</w:t>
      </w:r>
    </w:p>
    <w:p w14:paraId="2DF985EF" w14:textId="3D5BDAC3" w:rsidR="00E71C14" w:rsidRPr="0073321A" w:rsidRDefault="00000000" w:rsidP="00E71C14">
      <w:pPr>
        <w:pBdr>
          <w:top w:val="nil"/>
          <w:left w:val="nil"/>
          <w:bottom w:val="nil"/>
          <w:right w:val="nil"/>
          <w:between w:val="nil"/>
        </w:pBdr>
        <w:ind w:left="720" w:hanging="720"/>
        <w:rPr>
          <w:color w:val="000000"/>
          <w:lang w:val="fr-FR"/>
        </w:rPr>
      </w:pPr>
      <w:r>
        <w:rPr>
          <w:color w:val="000000"/>
        </w:rPr>
        <w:t xml:space="preserve">Skinner, John. </w:t>
      </w:r>
      <w:r>
        <w:rPr>
          <w:i/>
          <w:color w:val="000000"/>
        </w:rPr>
        <w:t>A Critical and Exegetical Commentary on Genesis</w:t>
      </w:r>
      <w:r>
        <w:rPr>
          <w:color w:val="000000"/>
        </w:rPr>
        <w:t xml:space="preserve">. </w:t>
      </w:r>
      <w:r w:rsidRPr="0073321A">
        <w:rPr>
          <w:color w:val="000000"/>
          <w:lang w:val="fr-FR"/>
        </w:rPr>
        <w:t xml:space="preserve">Charles </w:t>
      </w:r>
      <w:proofErr w:type="spellStart"/>
      <w:r w:rsidRPr="0073321A">
        <w:rPr>
          <w:color w:val="000000"/>
          <w:lang w:val="fr-FR"/>
        </w:rPr>
        <w:t>Scribner’s</w:t>
      </w:r>
      <w:proofErr w:type="spellEnd"/>
      <w:r w:rsidRPr="0073321A">
        <w:rPr>
          <w:color w:val="000000"/>
          <w:lang w:val="fr-FR"/>
        </w:rPr>
        <w:t xml:space="preserve"> Sons, 1910.</w:t>
      </w:r>
    </w:p>
    <w:p w14:paraId="0000003E" w14:textId="77777777" w:rsidR="004F75A9" w:rsidRDefault="00000000">
      <w:pPr>
        <w:pBdr>
          <w:top w:val="nil"/>
          <w:left w:val="nil"/>
          <w:bottom w:val="nil"/>
          <w:right w:val="nil"/>
          <w:between w:val="nil"/>
        </w:pBdr>
        <w:ind w:left="720" w:hanging="720"/>
        <w:rPr>
          <w:color w:val="000000"/>
        </w:rPr>
      </w:pPr>
      <w:r w:rsidRPr="0073321A">
        <w:rPr>
          <w:color w:val="000000"/>
          <w:lang w:val="fr-FR"/>
        </w:rPr>
        <w:t xml:space="preserve">Vitale, Francesco. </w:t>
      </w:r>
      <w:r>
        <w:rPr>
          <w:i/>
          <w:color w:val="000000"/>
        </w:rPr>
        <w:t>Biodeconstruction: Jacques Derrida and the Life Sciences</w:t>
      </w:r>
      <w:r>
        <w:rPr>
          <w:color w:val="000000"/>
        </w:rPr>
        <w:t>. Translated by Mauro Senatore, SUNY Press, 2018.</w:t>
      </w:r>
    </w:p>
    <w:p w14:paraId="0000003F" w14:textId="77777777" w:rsidR="004F75A9" w:rsidRDefault="00000000">
      <w:pPr>
        <w:pBdr>
          <w:top w:val="nil"/>
          <w:left w:val="nil"/>
          <w:bottom w:val="nil"/>
          <w:right w:val="nil"/>
          <w:between w:val="nil"/>
        </w:pBdr>
        <w:ind w:left="720" w:hanging="720"/>
        <w:rPr>
          <w:color w:val="000000"/>
        </w:rPr>
      </w:pPr>
      <w:r>
        <w:rPr>
          <w:color w:val="000000"/>
        </w:rPr>
        <w:lastRenderedPageBreak/>
        <w:t xml:space="preserve">---. “Microphysics of Sex: Sexual Differences between Biology and Deconstruction.” </w:t>
      </w:r>
      <w:r>
        <w:rPr>
          <w:i/>
          <w:color w:val="000000"/>
        </w:rPr>
        <w:t>Parallax</w:t>
      </w:r>
      <w:r>
        <w:rPr>
          <w:color w:val="000000"/>
        </w:rPr>
        <w:t>, vol. 25, no. 1, Jan. 2019, pp. 92–109, https://doi.org/10.1080/13534645.2019.1570608.</w:t>
      </w:r>
    </w:p>
    <w:p w14:paraId="00000040" w14:textId="77777777" w:rsidR="004F75A9" w:rsidRDefault="00000000">
      <w:pPr>
        <w:pBdr>
          <w:top w:val="nil"/>
          <w:left w:val="nil"/>
          <w:bottom w:val="nil"/>
          <w:right w:val="nil"/>
          <w:between w:val="nil"/>
        </w:pBdr>
        <w:ind w:left="720" w:hanging="720"/>
        <w:rPr>
          <w:color w:val="000000"/>
        </w:rPr>
      </w:pPr>
      <w:r>
        <w:rPr>
          <w:color w:val="000000"/>
        </w:rPr>
        <w:t xml:space="preserve">von Rad, Gerhard. </w:t>
      </w:r>
      <w:r>
        <w:rPr>
          <w:i/>
          <w:color w:val="000000"/>
        </w:rPr>
        <w:t>Genesis: A Commentary</w:t>
      </w:r>
      <w:r>
        <w:rPr>
          <w:color w:val="000000"/>
        </w:rPr>
        <w:t>. Revised Edition, The Westminster Press, 1972.</w:t>
      </w:r>
    </w:p>
    <w:p w14:paraId="00000041" w14:textId="77777777" w:rsidR="004F75A9" w:rsidRDefault="00000000">
      <w:pPr>
        <w:pBdr>
          <w:top w:val="nil"/>
          <w:left w:val="nil"/>
          <w:bottom w:val="nil"/>
          <w:right w:val="nil"/>
          <w:between w:val="nil"/>
        </w:pBdr>
        <w:ind w:left="720" w:hanging="720"/>
        <w:rPr>
          <w:color w:val="000000"/>
        </w:rPr>
      </w:pPr>
      <w:r>
        <w:rPr>
          <w:color w:val="000000"/>
        </w:rPr>
        <w:t xml:space="preserve">Wallace, Howard N. </w:t>
      </w:r>
      <w:r>
        <w:rPr>
          <w:i/>
          <w:color w:val="000000"/>
        </w:rPr>
        <w:t>The Eden Narrative</w:t>
      </w:r>
      <w:r>
        <w:rPr>
          <w:color w:val="000000"/>
        </w:rPr>
        <w:t>. Scholars Press, 1985.</w:t>
      </w:r>
    </w:p>
    <w:p w14:paraId="00000042" w14:textId="77777777" w:rsidR="004F75A9" w:rsidRDefault="00000000">
      <w:pPr>
        <w:pBdr>
          <w:top w:val="nil"/>
          <w:left w:val="nil"/>
          <w:bottom w:val="nil"/>
          <w:right w:val="nil"/>
          <w:between w:val="nil"/>
        </w:pBdr>
        <w:ind w:left="720" w:hanging="720"/>
        <w:rPr>
          <w:color w:val="000000"/>
        </w:rPr>
      </w:pPr>
      <w:r>
        <w:rPr>
          <w:color w:val="000000"/>
        </w:rPr>
        <w:t xml:space="preserve">Westermann, Claus. </w:t>
      </w:r>
      <w:r>
        <w:rPr>
          <w:i/>
          <w:color w:val="000000"/>
        </w:rPr>
        <w:t>Genesis 1-11: A Commentary</w:t>
      </w:r>
      <w:r>
        <w:rPr>
          <w:color w:val="000000"/>
        </w:rPr>
        <w:t>. Augsburg, 1974.</w:t>
      </w:r>
    </w:p>
    <w:p w14:paraId="00000043" w14:textId="77777777" w:rsidR="004F75A9" w:rsidRDefault="00000000">
      <w:pPr>
        <w:pBdr>
          <w:top w:val="nil"/>
          <w:left w:val="nil"/>
          <w:bottom w:val="nil"/>
          <w:right w:val="nil"/>
          <w:between w:val="nil"/>
        </w:pBdr>
        <w:ind w:left="720" w:hanging="720"/>
        <w:rPr>
          <w:b/>
        </w:rPr>
      </w:pPr>
      <w:r>
        <w:rPr>
          <w:color w:val="000000"/>
        </w:rPr>
        <w:t xml:space="preserve">Zoeckler, Otto. </w:t>
      </w:r>
      <w:r>
        <w:rPr>
          <w:i/>
          <w:color w:val="000000"/>
        </w:rPr>
        <w:t>The Cross of Christ</w:t>
      </w:r>
      <w:r>
        <w:rPr>
          <w:color w:val="000000"/>
        </w:rPr>
        <w:t>. Hodder and Stoughton, 1877.</w:t>
      </w:r>
    </w:p>
    <w:sectPr w:rsidR="004F75A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9FAB" w14:textId="77777777" w:rsidR="0089778A" w:rsidRDefault="0089778A">
      <w:r>
        <w:separator/>
      </w:r>
    </w:p>
  </w:endnote>
  <w:endnote w:type="continuationSeparator" w:id="0">
    <w:p w14:paraId="6D07ADD8" w14:textId="77777777" w:rsidR="0089778A" w:rsidRDefault="00897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D8E4C798-A4A8-4C49-90DA-116F4B72E968}"/>
    <w:embedBold r:id="rId2" w:fontKey="{70B6BC14-F372-CF4C-8766-A099CC303A60}"/>
    <w:embedItalic r:id="rId3" w:fontKey="{8255F3CA-1F24-5B4F-9D9C-302B066DF1A9}"/>
  </w:font>
  <w:font w:name="Aptos Display">
    <w:panose1 w:val="020B0004020202020204"/>
    <w:charset w:val="00"/>
    <w:family w:val="swiss"/>
    <w:pitch w:val="variable"/>
    <w:sig w:usb0="20000287" w:usb1="00000003" w:usb2="00000000" w:usb3="00000000" w:csb0="0000019F" w:csb1="00000000"/>
    <w:embedRegular r:id="rId4" w:fontKey="{8477A675-8DBF-5143-AC86-E8F8685F0F83}"/>
  </w:font>
  <w:font w:name="Times New Roman">
    <w:panose1 w:val="02020603050405020304"/>
    <w:charset w:val="00"/>
    <w:family w:val="roman"/>
    <w:pitch w:val="variable"/>
    <w:sig w:usb0="E0002EFF" w:usb1="C000785B" w:usb2="00000009" w:usb3="00000000" w:csb0="000001FF" w:csb1="00000000"/>
    <w:embedRegular r:id="rId5" w:fontKey="{9420277D-6BA0-2F4D-9519-096A0A7EA942}"/>
    <w:embedBold r:id="rId6" w:fontKey="{7887352B-8A93-9C48-BA3B-A979BFB249DB}"/>
    <w:embedItalic r:id="rId7" w:fontKey="{8BE0EDA7-B428-6048-9DA8-BE875625E3F6}"/>
  </w:font>
  <w:font w:name="Aptos">
    <w:panose1 w:val="020B0004020202020204"/>
    <w:charset w:val="00"/>
    <w:family w:val="swiss"/>
    <w:pitch w:val="variable"/>
    <w:sig w:usb0="20000287" w:usb1="00000003" w:usb2="00000000" w:usb3="00000000" w:csb0="0000019F" w:csb1="00000000"/>
    <w:embedRegular r:id="rId8" w:fontKey="{1112AEDA-E3D6-4143-BB38-E146B42699F5}"/>
    <w:embedItalic r:id="rId9" w:fontKey="{664496B6-4A6B-8F4C-A77F-D2AE598F59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9605" w14:textId="77777777" w:rsidR="002D452D" w:rsidRDefault="002D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1C70" w14:textId="77777777" w:rsidR="002D452D" w:rsidRDefault="002D4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5FD0" w14:textId="77777777" w:rsidR="002D452D" w:rsidRDefault="002D4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C537B" w14:textId="77777777" w:rsidR="0089778A" w:rsidRDefault="0089778A">
      <w:r>
        <w:separator/>
      </w:r>
    </w:p>
  </w:footnote>
  <w:footnote w:type="continuationSeparator" w:id="0">
    <w:p w14:paraId="63C809A5" w14:textId="77777777" w:rsidR="0089778A" w:rsidRDefault="0089778A">
      <w:r>
        <w:continuationSeparator/>
      </w:r>
    </w:p>
  </w:footnote>
  <w:footnote w:id="1">
    <w:p w14:paraId="00000044" w14:textId="533A2CE5" w:rsidR="004F75A9" w:rsidRDefault="00000000">
      <w:pPr>
        <w:pBdr>
          <w:top w:val="nil"/>
          <w:left w:val="nil"/>
          <w:bottom w:val="nil"/>
          <w:right w:val="nil"/>
          <w:between w:val="nil"/>
        </w:pBdr>
        <w:rPr>
          <w:color w:val="000000"/>
          <w:sz w:val="22"/>
          <w:szCs w:val="22"/>
        </w:rPr>
      </w:pPr>
      <w:r>
        <w:rPr>
          <w:rStyle w:val="FootnoteReference"/>
        </w:rPr>
        <w:footnoteRef/>
      </w:r>
      <w:r>
        <w:rPr>
          <w:color w:val="000000"/>
          <w:sz w:val="22"/>
          <w:szCs w:val="22"/>
        </w:rPr>
        <w:t xml:space="preserve"> I explore the deconstruction of the life sciences at greater length, both for how it destabilizes scientific theory and practice and for its effects on theoretical schools of thought in the humanities, in my </w:t>
      </w:r>
      <w:sdt>
        <w:sdtPr>
          <w:tag w:val="goog_rdk_52"/>
          <w:id w:val="840352767"/>
        </w:sdtPr>
        <w:sdtContent/>
      </w:sdt>
      <w:r>
        <w:rPr>
          <w:color w:val="000000"/>
          <w:sz w:val="22"/>
          <w:szCs w:val="22"/>
        </w:rPr>
        <w:t xml:space="preserve">forthcoming </w:t>
      </w:r>
      <w:r>
        <w:rPr>
          <w:i/>
          <w:color w:val="000000"/>
          <w:sz w:val="22"/>
          <w:szCs w:val="22"/>
        </w:rPr>
        <w:t>Virality Vitality</w:t>
      </w:r>
      <w:sdt>
        <w:sdtPr>
          <w:tag w:val="goog_rdk_53"/>
          <w:id w:val="1758406516"/>
        </w:sdtPr>
        <w:sdtContent/>
      </w:sdt>
      <w:r>
        <w:rPr>
          <w:color w:val="000000"/>
          <w:sz w:val="22"/>
          <w:szCs w:val="22"/>
        </w:rPr>
        <w:t>. Its first chapter focuses on Trees of Life and horizontal gene transfer; I consider related undecidabilities of symbios</w:t>
      </w:r>
      <w:r w:rsidR="009838D5">
        <w:rPr>
          <w:color w:val="000000"/>
          <w:sz w:val="22"/>
          <w:szCs w:val="22"/>
        </w:rPr>
        <w:t>i</w:t>
      </w:r>
      <w:r>
        <w:rPr>
          <w:color w:val="000000"/>
          <w:sz w:val="22"/>
          <w:szCs w:val="22"/>
        </w:rPr>
        <w:t xml:space="preserve">s in my “Symbioautothanatosis: Science as Symbiont in the Work of Lynn Margulis.” </w:t>
      </w:r>
    </w:p>
  </w:footnote>
  <w:footnote w:id="2">
    <w:p w14:paraId="6B3056B1" w14:textId="6F8187D7" w:rsidR="00981814" w:rsidRPr="004B22FA" w:rsidRDefault="00981814">
      <w:pPr>
        <w:pStyle w:val="FootnoteText"/>
        <w:rPr>
          <w:szCs w:val="22"/>
        </w:rPr>
      </w:pPr>
      <w:r w:rsidRPr="004B22FA">
        <w:rPr>
          <w:rStyle w:val="FootnoteReference"/>
          <w:szCs w:val="22"/>
        </w:rPr>
        <w:footnoteRef/>
      </w:r>
      <w:r w:rsidRPr="004B22FA">
        <w:rPr>
          <w:szCs w:val="22"/>
        </w:rPr>
        <w:t xml:space="preserve"> </w:t>
      </w:r>
      <w:r w:rsidR="00EE2C0F">
        <w:rPr>
          <w:szCs w:val="22"/>
        </w:rPr>
        <w:t>Certain</w:t>
      </w:r>
      <w:r w:rsidRPr="004B22FA">
        <w:rPr>
          <w:szCs w:val="22"/>
        </w:rPr>
        <w:t xml:space="preserve"> biologists have criticized this practice of capitalizing the “Tree of Life,” precisely because they hope to suppress its biblical resonances </w:t>
      </w:r>
      <w:r w:rsidR="00A070FD" w:rsidRPr="004B22FA">
        <w:rPr>
          <w:szCs w:val="22"/>
        </w:rPr>
        <w:fldChar w:fldCharType="begin"/>
      </w:r>
      <w:r w:rsidR="00A070FD" w:rsidRPr="004B22FA">
        <w:rPr>
          <w:szCs w:val="22"/>
        </w:rPr>
        <w:instrText xml:space="preserve"> ADDIN ZOTERO_ITEM CSL_CITATION {"citationID":"9GE94JvM","properties":{"formattedCitation":"(Penny; Forterre 4)","plainCitation":"(Penny; Forterre 4)","noteIndex":2},"citationItems":[{"id":2330,"uris":["http://zotero.org/users/4940037/items/C3KEZ5QI"],"itemData":{"id":2330,"type":"article-journal","container-title":"PLOS Biology","DOI":"10.1371/journal.pbio.1001096","issue":"7","journalAbbreviation":"PLOS Biology","note":"publisher: Public Library of Science","title":"Darwin's Theory of Descent with Modification, versus the Biblical Tree of Life","URL":"https://doi.org/10.1371/journal.pbio.1001096","volume":"9","author":[{"family":"Penny","given":"David"}],"issued":{"date-parts":[["2011",7,5]]}}},{"id":2329,"uris":["http://zotero.org/users/4940037/items/8TU6H88S"],"itemData":{"id":2329,"type":"article-journal","abstract":"The scientific contribution of Darwin, still agonized in many religious circles, has now been recognized and celebrated by scientists from various disciplines.  However, in recent years, several evolutionists have criticized Darwin as  outdated, arguing that \"Darwinism,\" assimilated to the \"tree of life,\" cannot  explain microbial evolution, or else was not operating in early life evolution.  These critics either confuse \"Darwinism\" and old versions of \"neo-Darwinism\" or  misunderstand the role of gene transfers in evolution. The core of Darwin  explanation of evolution (variation/selection) remains necessary and sufficient  to decipher the history of life. The enormous diversity of mechanisms underlying  variations has been successfully interpreted by evolutionists in this framework  and has considerably enriched the corpus of evolutionary biology without the  necessity to kill the father. However, it remains for evolutionists to  acknowledge interactions between cells and viruses (unknown for Darwin) as a  major driving force in life evolution.","container-title":"Frontiers in Cellular and Infection Microbiology","DOI":"10.3389/fcimb.2012.00106","ISSN":"2235-2988","journalAbbreviation":"Front Cell Infect Microbiol","language":"eng","note":"publisher-place: Switzerland\nPMID: 22919695 \nPMCID: PMC3417645","page":"1-13","title":"Darwin's Goldmine Is Still Open: Variation and Selection Run the World.","title-short":"Darwin's Goldmine","volume":"2","author":[{"family":"Forterre","given":"Patrick"}],"issued":{"date-parts":[["2012"]]}},"locator":"4","label":"page"}],"schema":"https://github.com/citation-style-language/schema/raw/master/csl-citation.json"} </w:instrText>
      </w:r>
      <w:r w:rsidR="00A070FD" w:rsidRPr="004B22FA">
        <w:rPr>
          <w:szCs w:val="22"/>
        </w:rPr>
        <w:fldChar w:fldCharType="separate"/>
      </w:r>
      <w:r w:rsidR="00A070FD" w:rsidRPr="004B22FA">
        <w:rPr>
          <w:noProof/>
          <w:szCs w:val="22"/>
        </w:rPr>
        <w:t>(Penny; Forterre 4)</w:t>
      </w:r>
      <w:r w:rsidR="00A070FD" w:rsidRPr="004B22FA">
        <w:rPr>
          <w:szCs w:val="22"/>
        </w:rPr>
        <w:fldChar w:fldCharType="end"/>
      </w:r>
      <w:r w:rsidR="00A070FD" w:rsidRPr="004B22FA">
        <w:rPr>
          <w:szCs w:val="22"/>
        </w:rPr>
        <w:t>.</w:t>
      </w:r>
    </w:p>
  </w:footnote>
  <w:footnote w:id="3">
    <w:p w14:paraId="00000045" w14:textId="77777777" w:rsidR="004F75A9" w:rsidRDefault="00000000">
      <w:r>
        <w:rPr>
          <w:rStyle w:val="FootnoteReference"/>
        </w:rPr>
        <w:footnoteRef/>
      </w:r>
      <w:r>
        <w:t xml:space="preserve"> We are told, as well, that Adam named the animals </w:t>
      </w:r>
      <w:r>
        <w:rPr>
          <w:i/>
        </w:rPr>
        <w:t xml:space="preserve">before </w:t>
      </w:r>
      <w:r>
        <w:t>eating of this tree.</w:t>
      </w:r>
    </w:p>
  </w:footnote>
  <w:footnote w:id="4">
    <w:p w14:paraId="254102DF" w14:textId="34CF7D69" w:rsidR="009912A7" w:rsidRDefault="009912A7">
      <w:pPr>
        <w:pStyle w:val="FootnoteText"/>
      </w:pPr>
      <w:r>
        <w:rPr>
          <w:rStyle w:val="FootnoteReference"/>
        </w:rPr>
        <w:footnoteRef/>
      </w:r>
      <w:r>
        <w:t xml:space="preserve"> See Budde 46–88; Skinner 52–53; Westermann 211–14; Wallace 101–32; Bal 32–33.</w:t>
      </w:r>
      <w:r w:rsidR="007B3DDD">
        <w:t xml:space="preserve"> I am grateful to Sam Catlin for helping me to </w:t>
      </w:r>
      <w:r w:rsidR="005F441C">
        <w:t>track down the history of this interpretation</w:t>
      </w:r>
      <w:r w:rsidR="007B3DDD">
        <w:t>.</w:t>
      </w:r>
    </w:p>
  </w:footnote>
  <w:footnote w:id="5">
    <w:p w14:paraId="0FDA3ACA" w14:textId="4630FFFA" w:rsidR="0003269A" w:rsidRPr="00957F06" w:rsidRDefault="0003269A" w:rsidP="00957F06">
      <w:pPr>
        <w:rPr>
          <w:sz w:val="22"/>
          <w:szCs w:val="22"/>
        </w:rPr>
      </w:pPr>
      <w:r w:rsidRPr="00957F06">
        <w:rPr>
          <w:rStyle w:val="FootnoteReference"/>
          <w:sz w:val="22"/>
          <w:szCs w:val="22"/>
        </w:rPr>
        <w:footnoteRef/>
      </w:r>
      <w:r w:rsidRPr="00957F06">
        <w:rPr>
          <w:sz w:val="22"/>
          <w:szCs w:val="22"/>
        </w:rPr>
        <w:t xml:space="preserve"> Another biblical scholar explicitly recognized the connection between such exegetical genealogies and those of the life-sciences. Otto Zoeckler describes a tradition that sees the Tree of Knowledge as a Tree of Death, noting that Christ’s cross is sometimes said to have been formed from the wood of that Tree (a figure of Christ’s sacrifice redeeming that original sin—just as Mary, a mother without sin, would redeem the first mother of life, Eve). </w:t>
      </w:r>
      <w:sdt>
        <w:sdtPr>
          <w:rPr>
            <w:sz w:val="22"/>
            <w:szCs w:val="22"/>
          </w:rPr>
          <w:tag w:val="goog_rdk_30"/>
          <w:id w:val="-730231994"/>
        </w:sdtPr>
        <w:sdtContent/>
      </w:sdt>
      <w:r w:rsidRPr="00957F06">
        <w:rPr>
          <w:sz w:val="22"/>
          <w:szCs w:val="22"/>
        </w:rPr>
        <w:t>Zoeckler’s search for precursors of tree and cross leads him to a multiplicity that he feels can only mock the aspirations of scientific genealogy: “An historical derivation of all these figures from one primal form of the simplest order, serving as the basis to them all, appears to us an absolutely insoluble problem, comparable to the quadrature of the circle. The fanciful [</w:t>
      </w:r>
      <w:r w:rsidRPr="00957F06">
        <w:rPr>
          <w:i/>
          <w:sz w:val="22"/>
          <w:szCs w:val="22"/>
        </w:rPr>
        <w:t>phantasievolle</w:t>
      </w:r>
      <w:r w:rsidRPr="00957F06">
        <w:rPr>
          <w:sz w:val="22"/>
          <w:szCs w:val="22"/>
        </w:rPr>
        <w:t>] art of genealogising displayed by a Häckel might perhaps at best prove equal to supplying us with the means of constructing the all-embracing family tree</w:t>
      </w:r>
      <w:sdt>
        <w:sdtPr>
          <w:rPr>
            <w:sz w:val="22"/>
            <w:szCs w:val="22"/>
          </w:rPr>
          <w:tag w:val="goog_rdk_31"/>
          <w:id w:val="-2037883408"/>
        </w:sdtPr>
        <w:sdtContent/>
      </w:sdt>
      <w:r w:rsidRPr="00957F06">
        <w:rPr>
          <w:sz w:val="22"/>
          <w:szCs w:val="22"/>
        </w:rPr>
        <w:t xml:space="preserve">” (Zoeckler 29). </w:t>
      </w:r>
      <w:sdt>
        <w:sdtPr>
          <w:rPr>
            <w:sz w:val="22"/>
            <w:szCs w:val="22"/>
          </w:rPr>
          <w:tag w:val="goog_rdk_32"/>
          <w:id w:val="786617047"/>
        </w:sdtPr>
        <w:sdtContent/>
      </w:sdt>
      <w:sdt>
        <w:sdtPr>
          <w:rPr>
            <w:sz w:val="22"/>
            <w:szCs w:val="22"/>
          </w:rPr>
          <w:tag w:val="goog_rdk_33"/>
          <w:id w:val="-293142940"/>
        </w:sdtPr>
        <w:sdtContent>
          <w:r w:rsidRPr="00957F06">
            <w:rPr>
              <w:sz w:val="22"/>
              <w:szCs w:val="22"/>
            </w:rPr>
            <w:t xml:space="preserve">Ernst </w:t>
          </w:r>
        </w:sdtContent>
      </w:sdt>
      <w:r w:rsidRPr="00957F06">
        <w:rPr>
          <w:sz w:val="22"/>
          <w:szCs w:val="22"/>
        </w:rPr>
        <w:t xml:space="preserve">Haeckel, a contemporary of Darwin, carried on Darwin’s project of figuring evolutionary history as a “great tree.” Zoeckler is not wrong </w:t>
      </w:r>
      <w:sdt>
        <w:sdtPr>
          <w:rPr>
            <w:sz w:val="22"/>
            <w:szCs w:val="22"/>
          </w:rPr>
          <w:tag w:val="goog_rdk_34"/>
          <w:id w:val="1090206014"/>
        </w:sdtPr>
        <w:sdtContent/>
      </w:sdt>
      <w:r w:rsidRPr="00957F06">
        <w:rPr>
          <w:sz w:val="22"/>
          <w:szCs w:val="22"/>
        </w:rPr>
        <w:t xml:space="preserve">that such Trees of Life depend on </w:t>
      </w:r>
      <w:r w:rsidRPr="00957F06">
        <w:rPr>
          <w:i/>
          <w:sz w:val="22"/>
          <w:szCs w:val="22"/>
        </w:rPr>
        <w:t xml:space="preserve">Phantasie </w:t>
      </w:r>
      <w:r w:rsidRPr="00957F06">
        <w:rPr>
          <w:sz w:val="22"/>
          <w:szCs w:val="22"/>
        </w:rPr>
        <w:t xml:space="preserve">(which is not to say that his own project, beginning with “pre-Christian” and “extra-Christian” crosses teleologically oriented </w:t>
      </w:r>
      <w:r w:rsidR="00C54C7B">
        <w:rPr>
          <w:sz w:val="22"/>
          <w:szCs w:val="22"/>
        </w:rPr>
        <w:t>toward</w:t>
      </w:r>
      <w:r w:rsidRPr="00957F06">
        <w:rPr>
          <w:sz w:val="22"/>
          <w:szCs w:val="22"/>
        </w:rPr>
        <w:t xml:space="preserve"> the Christian cross, is anything but another tree)</w:t>
      </w:r>
      <w:r w:rsidRPr="00957F06">
        <w:rPr>
          <w:i/>
          <w:sz w:val="22"/>
          <w:szCs w:val="22"/>
        </w:rPr>
        <w:t>.</w:t>
      </w:r>
    </w:p>
  </w:footnote>
  <w:footnote w:id="6">
    <w:p w14:paraId="3454FDC1" w14:textId="180CEE9B" w:rsidR="004A435F" w:rsidRPr="000A6E8F" w:rsidRDefault="004A435F">
      <w:pPr>
        <w:pStyle w:val="FootnoteText"/>
      </w:pPr>
      <w:r>
        <w:rPr>
          <w:rStyle w:val="FootnoteReference"/>
        </w:rPr>
        <w:footnoteRef/>
      </w:r>
      <w:r>
        <w:t xml:space="preserve"> </w:t>
      </w:r>
      <w:r w:rsidR="007400AC">
        <w:t xml:space="preserve">Compare Aristotle, </w:t>
      </w:r>
      <w:r w:rsidR="007400AC">
        <w:rPr>
          <w:i/>
        </w:rPr>
        <w:t>DA</w:t>
      </w:r>
      <w:r w:rsidR="007400AC">
        <w:t xml:space="preserve"> II.4, 415a22-415b9.</w:t>
      </w:r>
      <w:r w:rsidR="0051607B">
        <w:t xml:space="preserve"> </w:t>
      </w:r>
      <w:r w:rsidR="004C1674">
        <w:t xml:space="preserve">Much like this biblical tradition, </w:t>
      </w:r>
      <w:r w:rsidR="0051607B">
        <w:t>Aristotle identifies reproduction</w:t>
      </w:r>
      <w:r w:rsidR="000A59D9">
        <w:t xml:space="preserve"> </w:t>
      </w:r>
      <w:r w:rsidR="0051607B">
        <w:t xml:space="preserve">as granting </w:t>
      </w:r>
      <w:r w:rsidR="002166AD">
        <w:t xml:space="preserve">the living their only possible </w:t>
      </w:r>
      <w:r w:rsidR="0051607B">
        <w:t>“</w:t>
      </w:r>
      <w:r w:rsidR="0051607B" w:rsidRPr="0051607B">
        <w:t xml:space="preserve">share in the immortal </w:t>
      </w:r>
      <w:r w:rsidR="0051607B" w:rsidRPr="0051607B">
        <w:t>and divine</w:t>
      </w:r>
      <w:r w:rsidR="0051607B">
        <w:t>” (</w:t>
      </w:r>
      <w:r w:rsidR="009B420D" w:rsidRPr="009B420D">
        <w:rPr>
          <w:i/>
          <w:iCs/>
        </w:rPr>
        <w:t>tou aei kai</w:t>
      </w:r>
      <w:r w:rsidR="009B420D">
        <w:t xml:space="preserve"> </w:t>
      </w:r>
      <w:r w:rsidR="0051607B">
        <w:rPr>
          <w:i/>
          <w:iCs/>
        </w:rPr>
        <w:t>tou theiou metekhōsin</w:t>
      </w:r>
      <w:r w:rsidR="0051607B">
        <w:t>)</w:t>
      </w:r>
      <w:r w:rsidR="004C1674">
        <w:t xml:space="preserve">. </w:t>
      </w:r>
      <w:r w:rsidR="007A0301">
        <w:t>Metaphysics as ontotheology thus shares with the Abrahamic tradition an understanding of finitude that places it in relation to an archē and telos of pure plenitude.</w:t>
      </w:r>
      <w:r w:rsidR="007B0E04">
        <w:t xml:space="preserve"> </w:t>
      </w:r>
      <w:r w:rsidR="005860B0">
        <w:t>It is noteworthy that the W. S. Hett translation of this text Christianizes Aristotle by describing what participates in the divine as not an individual living thing but “</w:t>
      </w:r>
      <w:r w:rsidR="005E7E0C">
        <w:t xml:space="preserve">something in its </w:t>
      </w:r>
      <w:r w:rsidR="005860B0">
        <w:t>image”</w:t>
      </w:r>
      <w:r w:rsidR="00913FD5">
        <w:t xml:space="preserve"> (</w:t>
      </w:r>
      <w:r w:rsidR="005328C6">
        <w:t xml:space="preserve">cf. </w:t>
      </w:r>
      <w:r w:rsidR="00913FD5">
        <w:t>“Let us make humans in our image”; Gen. 1:26).</w:t>
      </w:r>
      <w:r w:rsidR="005860B0">
        <w:t xml:space="preserve"> </w:t>
      </w:r>
      <w:r w:rsidR="00FD01F7">
        <w:t xml:space="preserve">This phrase is </w:t>
      </w:r>
      <w:r w:rsidR="005E7E0C">
        <w:t xml:space="preserve">meant to translate </w:t>
      </w:r>
      <w:r w:rsidR="005E7E0C">
        <w:rPr>
          <w:i/>
          <w:iCs/>
        </w:rPr>
        <w:t>hoion auto</w:t>
      </w:r>
      <w:r w:rsidR="005E7E0C">
        <w:t xml:space="preserve">. </w:t>
      </w:r>
      <w:r w:rsidR="000A6E8F" w:rsidRPr="000A6E8F">
        <w:rPr>
          <w:i/>
          <w:iCs/>
        </w:rPr>
        <w:t>Hoio</w:t>
      </w:r>
      <w:r w:rsidR="00BD2E58">
        <w:rPr>
          <w:i/>
          <w:iCs/>
        </w:rPr>
        <w:t>s</w:t>
      </w:r>
      <w:r w:rsidR="000A6E8F">
        <w:t>, often translated as</w:t>
      </w:r>
      <w:r w:rsidR="00A551AE">
        <w:t xml:space="preserve"> sort or kind</w:t>
      </w:r>
      <w:r w:rsidR="00BC65C2">
        <w:t xml:space="preserve"> (i.e.</w:t>
      </w:r>
      <w:r w:rsidR="00055840">
        <w:t>,</w:t>
      </w:r>
      <w:r w:rsidR="00BC65C2">
        <w:t xml:space="preserve"> such-and-such kind of thing)</w:t>
      </w:r>
      <w:r w:rsidR="000A6E8F">
        <w:t xml:space="preserve">, </w:t>
      </w:r>
      <w:r w:rsidR="00055840">
        <w:t>can be interpreted in a manner that attempts to extricate it from th</w:t>
      </w:r>
      <w:r w:rsidR="00026617">
        <w:t>is</w:t>
      </w:r>
      <w:r w:rsidR="00055840">
        <w:t xml:space="preserve"> representationalism, as Heidegger tirelessly reminded us.</w:t>
      </w:r>
      <w:r w:rsidR="00026617">
        <w:t xml:space="preserve"> </w:t>
      </w:r>
      <w:r w:rsidR="008C308A">
        <w:t xml:space="preserve">Nonetheless, even if it is not the “image” that mediates </w:t>
      </w:r>
      <w:r w:rsidR="00E52ECE">
        <w:t xml:space="preserve">between human and </w:t>
      </w:r>
      <w:proofErr w:type="gramStart"/>
      <w:r w:rsidR="00E52ECE">
        <w:t>god</w:t>
      </w:r>
      <w:proofErr w:type="gramEnd"/>
      <w:r w:rsidR="00E52ECE">
        <w:t xml:space="preserve"> or living thing and the divine, </w:t>
      </w:r>
      <w:r w:rsidR="008F7C28">
        <w:t>a relationship between finite creature and the infinite mediated by reproductivity unites the traditions. Moreover, it is part of the common thread or weave they share with modern biology</w:t>
      </w:r>
      <w:r w:rsidR="00BB566A">
        <w:t xml:space="preserve">, which also </w:t>
      </w:r>
      <w:r w:rsidR="006928FE">
        <w:t>infinitizes</w:t>
      </w:r>
      <w:r w:rsidR="00BB566A">
        <w:t xml:space="preserve"> life </w:t>
      </w:r>
      <w:r w:rsidR="006928FE">
        <w:t xml:space="preserve">by placing it under </w:t>
      </w:r>
      <w:r w:rsidR="008E7741">
        <w:t>the</w:t>
      </w:r>
      <w:r w:rsidR="00BB566A">
        <w:t xml:space="preserve"> law to be fruitful and multiply</w:t>
      </w:r>
      <w:r w:rsidR="00F062D9">
        <w:t xml:space="preserve"> (Gen. 1:28)</w:t>
      </w:r>
      <w:r w:rsidR="00BB566A">
        <w:t>.</w:t>
      </w:r>
    </w:p>
  </w:footnote>
  <w:footnote w:id="7">
    <w:p w14:paraId="219CC088" w14:textId="719BEDA4" w:rsidR="006D5DDC" w:rsidRPr="0008139F" w:rsidRDefault="006D5DDC" w:rsidP="00F679A5">
      <w:pPr>
        <w:rPr>
          <w:sz w:val="22"/>
          <w:szCs w:val="22"/>
        </w:rPr>
      </w:pPr>
      <w:r w:rsidRPr="0008139F">
        <w:rPr>
          <w:rStyle w:val="FootnoteReference"/>
          <w:sz w:val="22"/>
          <w:szCs w:val="22"/>
        </w:rPr>
        <w:footnoteRef/>
      </w:r>
      <w:r w:rsidRPr="0008139F">
        <w:rPr>
          <w:sz w:val="22"/>
          <w:szCs w:val="22"/>
        </w:rPr>
        <w:t xml:space="preserve"> A certain gnostic tradition reinterprets this story in a curiously parallel fashion. Simplifying greatly, it would see the god of the Hebrew Bible as a minor and perhaps malevolent deity, and his creation as an illusion or prison we must escape to reach the true god and true heaven. Thus, the Tree of Knowledge would in truth be a Tree of Life (because it severed us from the impostor and his creation), while the Tree of Life</w:t>
      </w:r>
      <w:r w:rsidR="0058728F">
        <w:rPr>
          <w:sz w:val="22"/>
          <w:szCs w:val="22"/>
        </w:rPr>
        <w:t>,</w:t>
      </w:r>
      <w:r w:rsidRPr="0008139F">
        <w:rPr>
          <w:sz w:val="22"/>
          <w:szCs w:val="22"/>
        </w:rPr>
        <w:t xml:space="preserve"> which would have ensnared us in his realm</w:t>
      </w:r>
      <w:r w:rsidR="0058728F">
        <w:rPr>
          <w:sz w:val="22"/>
          <w:szCs w:val="22"/>
        </w:rPr>
        <w:t>,</w:t>
      </w:r>
      <w:r w:rsidRPr="0008139F">
        <w:rPr>
          <w:sz w:val="22"/>
          <w:szCs w:val="22"/>
        </w:rPr>
        <w:t xml:space="preserve"> is in fact the Tree </w:t>
      </w:r>
      <w:r w:rsidRPr="0008139F">
        <w:rPr>
          <w:sz w:val="22"/>
          <w:szCs w:val="22"/>
        </w:rPr>
        <w:t>of Dea</w:t>
      </w:r>
      <w:r w:rsidR="00C43941" w:rsidRPr="0008139F">
        <w:rPr>
          <w:sz w:val="22"/>
          <w:szCs w:val="22"/>
        </w:rPr>
        <w:t>t</w:t>
      </w:r>
      <w:r w:rsidRPr="0008139F">
        <w:rPr>
          <w:sz w:val="22"/>
          <w:szCs w:val="22"/>
        </w:rPr>
        <w:t xml:space="preserve">h (Rasimus 154). Now, this chain of associations between Knowledge and Life, Life and Death, </w:t>
      </w:r>
      <w:sdt>
        <w:sdtPr>
          <w:rPr>
            <w:sz w:val="22"/>
            <w:szCs w:val="22"/>
          </w:rPr>
          <w:tag w:val="goog_rdk_41"/>
          <w:id w:val="-296767300"/>
        </w:sdtPr>
        <w:sdtContent/>
      </w:sdt>
      <w:r w:rsidRPr="0008139F">
        <w:rPr>
          <w:sz w:val="22"/>
          <w:szCs w:val="22"/>
        </w:rPr>
        <w:t xml:space="preserve">were just those we already discovered in the more or less traditional version of the story. The esoteric and “exoteric” interpretations are undecidable, so long as both require us to </w:t>
      </w:r>
      <w:r w:rsidRPr="0008139F">
        <w:rPr>
          <w:i/>
          <w:sz w:val="22"/>
          <w:szCs w:val="22"/>
        </w:rPr>
        <w:t>read.</w:t>
      </w:r>
    </w:p>
  </w:footnote>
  <w:footnote w:id="8">
    <w:p w14:paraId="032E0A08" w14:textId="30F66580" w:rsidR="00F679A5" w:rsidRPr="00622B85" w:rsidRDefault="00F679A5">
      <w:pPr>
        <w:pStyle w:val="FootnoteText"/>
      </w:pPr>
      <w:r>
        <w:rPr>
          <w:rStyle w:val="FootnoteReference"/>
        </w:rPr>
        <w:footnoteRef/>
      </w:r>
      <w:r>
        <w:t xml:space="preserve"> Taking the side of that science called modern, one might attempt to break this symmetry by arguing that this congenital fear of snakes can be discovered among other cultures</w:t>
      </w:r>
      <w:r w:rsidR="009E7CCD">
        <w:t xml:space="preserve"> not tracing their descent or inheritance to the people of the book, and even among other species, suggesting an origin long pre-dating this biblical tradition. </w:t>
      </w:r>
      <w:r w:rsidR="0092648E">
        <w:t xml:space="preserve">I will only say that every such narrative descends from its descendants. </w:t>
      </w:r>
      <w:r w:rsidR="009D0E7D">
        <w:t>It is within a particular scientific culture</w:t>
      </w:r>
      <w:r w:rsidR="0009707E">
        <w:t xml:space="preserve">, one </w:t>
      </w:r>
      <w:r w:rsidR="005B6EC7">
        <w:t>that hasn’t fallen far from</w:t>
      </w:r>
      <w:r w:rsidR="0009707E">
        <w:t xml:space="preserve"> </w:t>
      </w:r>
      <w:r w:rsidR="0083794F">
        <w:t xml:space="preserve">the </w:t>
      </w:r>
      <w:r w:rsidR="001B6D2C">
        <w:t>biblical tree,</w:t>
      </w:r>
      <w:r w:rsidR="009D0E7D">
        <w:t xml:space="preserve"> that this question (is the fear of snakes innate?) and the </w:t>
      </w:r>
      <w:r w:rsidR="00A9365C">
        <w:t>investigation of its genealogy takes form</w:t>
      </w:r>
      <w:r w:rsidR="00DB0FB7">
        <w:t xml:space="preserve">. </w:t>
      </w:r>
      <w:r w:rsidR="002A0C88">
        <w:t>One could always (this is a necessity of all scientific research) question its results by questioning the categor</w:t>
      </w:r>
      <w:r w:rsidR="00B72FBD">
        <w:t>ies</w:t>
      </w:r>
      <w:r w:rsidR="002A0C88">
        <w:t xml:space="preserve"> that ha</w:t>
      </w:r>
      <w:r w:rsidR="00B72FBD">
        <w:t>ve</w:t>
      </w:r>
      <w:r w:rsidR="002A0C88">
        <w:t xml:space="preserve"> guided the inquiry</w:t>
      </w:r>
      <w:r w:rsidR="00B72FBD">
        <w:t xml:space="preserve"> (“snake,” “fear”)</w:t>
      </w:r>
      <w:r w:rsidR="002A0C88">
        <w:t xml:space="preserve">, and even without placing any of these results in question, one can still ask why this particular question, for these particular researchers, has felt particularly urgent. </w:t>
      </w:r>
      <w:r w:rsidR="00622B85">
        <w:t xml:space="preserve">Moreover, nothing in a positivistic science can prepare us to grapple with the non-oppositionality of these categories, such as, perhaps, psychologist </w:t>
      </w:r>
      <w:r w:rsidR="00622B85" w:rsidRPr="00622B85">
        <w:t>Nobuyuki Kawai</w:t>
      </w:r>
      <w:r w:rsidR="00622B85">
        <w:t xml:space="preserve"> expressed in the introduction to his book </w:t>
      </w:r>
      <w:r w:rsidR="00622B85" w:rsidRPr="00622B85">
        <w:rPr>
          <w:i/>
          <w:iCs/>
        </w:rPr>
        <w:t>The Fear of Snakes</w:t>
      </w:r>
      <w:r w:rsidR="00622B85">
        <w:rPr>
          <w:i/>
          <w:iCs/>
        </w:rPr>
        <w:t xml:space="preserve">, </w:t>
      </w:r>
      <w:r w:rsidR="00622B85">
        <w:t xml:space="preserve">where he wondered why, </w:t>
      </w:r>
      <w:r w:rsidR="003F6401">
        <w:t>despite the seeming</w:t>
      </w:r>
      <w:r w:rsidR="00622B85">
        <w:t xml:space="preserve"> innate</w:t>
      </w:r>
      <w:r w:rsidR="003F6401">
        <w:t>ness of this fear</w:t>
      </w:r>
      <w:r w:rsidR="00622B85">
        <w:t>, “many of my own friends and my daughter love snakes” (vii).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720D" w14:textId="77777777" w:rsidR="002D452D" w:rsidRDefault="002D4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654B" w14:textId="31C29870" w:rsidR="002D452D" w:rsidRDefault="002D452D" w:rsidP="002D452D">
    <w:pPr>
      <w:pStyle w:val="Header"/>
      <w:jc w:val="right"/>
    </w:pPr>
    <w:r>
      <w:t xml:space="preserve">Published in </w:t>
    </w:r>
    <w:proofErr w:type="spellStart"/>
    <w:r w:rsidRPr="002D452D">
      <w:rPr>
        <w:i/>
        <w:iCs/>
      </w:rPr>
      <w:t>SubStance</w:t>
    </w:r>
    <w:proofErr w:type="spellEnd"/>
    <w:r>
      <w:t xml:space="preserve">, 54(1), 2025, </w:t>
    </w:r>
    <w:hyperlink r:id="rId1" w:history="1">
      <w:r>
        <w:rPr>
          <w:rStyle w:val="Hyperlink"/>
        </w:rPr>
        <w:t>https://doi.org/10.1353/sub.2025.a959048</w:t>
      </w:r>
    </w:hyperlink>
    <w:r>
      <w:t xml:space="preserve"> </w:t>
    </w:r>
  </w:p>
  <w:p w14:paraId="5BA20F93" w14:textId="6D004E79" w:rsidR="002D452D" w:rsidRDefault="00E30CC4" w:rsidP="002D452D">
    <w:pPr>
      <w:jc w:val="right"/>
    </w:pPr>
    <w:r>
      <w:t>Please d</w:t>
    </w:r>
    <w:r w:rsidR="002D452D">
      <w:t>o not Cite this 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4941" w14:textId="77777777" w:rsidR="002D452D" w:rsidRDefault="002D45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5A9"/>
    <w:rsid w:val="0000093D"/>
    <w:rsid w:val="000143C5"/>
    <w:rsid w:val="00026617"/>
    <w:rsid w:val="0003269A"/>
    <w:rsid w:val="000507F6"/>
    <w:rsid w:val="00051A8B"/>
    <w:rsid w:val="00055840"/>
    <w:rsid w:val="00067F44"/>
    <w:rsid w:val="000719E9"/>
    <w:rsid w:val="00077778"/>
    <w:rsid w:val="0008139F"/>
    <w:rsid w:val="00087522"/>
    <w:rsid w:val="0009707E"/>
    <w:rsid w:val="000A59D9"/>
    <w:rsid w:val="000A6E8F"/>
    <w:rsid w:val="000C4C4B"/>
    <w:rsid w:val="000D6F14"/>
    <w:rsid w:val="001176CF"/>
    <w:rsid w:val="00127263"/>
    <w:rsid w:val="0013127E"/>
    <w:rsid w:val="001561AC"/>
    <w:rsid w:val="00174F51"/>
    <w:rsid w:val="00181632"/>
    <w:rsid w:val="001B414F"/>
    <w:rsid w:val="001B6D2C"/>
    <w:rsid w:val="001D5AE0"/>
    <w:rsid w:val="001E0A2B"/>
    <w:rsid w:val="001E4ED5"/>
    <w:rsid w:val="00200A47"/>
    <w:rsid w:val="002138A7"/>
    <w:rsid w:val="002166AD"/>
    <w:rsid w:val="0026768F"/>
    <w:rsid w:val="00281BBD"/>
    <w:rsid w:val="00282921"/>
    <w:rsid w:val="002857D0"/>
    <w:rsid w:val="002A0C88"/>
    <w:rsid w:val="002D29C8"/>
    <w:rsid w:val="002D452D"/>
    <w:rsid w:val="00312407"/>
    <w:rsid w:val="003201F0"/>
    <w:rsid w:val="003B4815"/>
    <w:rsid w:val="003B61CA"/>
    <w:rsid w:val="003C1F43"/>
    <w:rsid w:val="003D2897"/>
    <w:rsid w:val="003E177B"/>
    <w:rsid w:val="003F271E"/>
    <w:rsid w:val="003F6401"/>
    <w:rsid w:val="003F739D"/>
    <w:rsid w:val="00433E37"/>
    <w:rsid w:val="00450A34"/>
    <w:rsid w:val="00471FC8"/>
    <w:rsid w:val="00484293"/>
    <w:rsid w:val="004A435F"/>
    <w:rsid w:val="004B22FA"/>
    <w:rsid w:val="004C0C9B"/>
    <w:rsid w:val="004C1674"/>
    <w:rsid w:val="004D7919"/>
    <w:rsid w:val="004E2264"/>
    <w:rsid w:val="004E5F0D"/>
    <w:rsid w:val="004F75A9"/>
    <w:rsid w:val="0051607B"/>
    <w:rsid w:val="00526598"/>
    <w:rsid w:val="005328C6"/>
    <w:rsid w:val="00544913"/>
    <w:rsid w:val="00550384"/>
    <w:rsid w:val="00550B9A"/>
    <w:rsid w:val="00557641"/>
    <w:rsid w:val="005860B0"/>
    <w:rsid w:val="0058728F"/>
    <w:rsid w:val="005B6EC7"/>
    <w:rsid w:val="005C494A"/>
    <w:rsid w:val="005D10DB"/>
    <w:rsid w:val="005E7E0C"/>
    <w:rsid w:val="005F441C"/>
    <w:rsid w:val="00622B85"/>
    <w:rsid w:val="006726E7"/>
    <w:rsid w:val="00682108"/>
    <w:rsid w:val="006928FE"/>
    <w:rsid w:val="006D5DDC"/>
    <w:rsid w:val="007027C6"/>
    <w:rsid w:val="0071403C"/>
    <w:rsid w:val="007147E7"/>
    <w:rsid w:val="0073321A"/>
    <w:rsid w:val="007333F4"/>
    <w:rsid w:val="00734217"/>
    <w:rsid w:val="007400AC"/>
    <w:rsid w:val="00741DC5"/>
    <w:rsid w:val="00757D85"/>
    <w:rsid w:val="00757E1C"/>
    <w:rsid w:val="0076158C"/>
    <w:rsid w:val="00761ECB"/>
    <w:rsid w:val="00771F6E"/>
    <w:rsid w:val="007872A0"/>
    <w:rsid w:val="00793DD1"/>
    <w:rsid w:val="007A0301"/>
    <w:rsid w:val="007B0E04"/>
    <w:rsid w:val="007B3DDD"/>
    <w:rsid w:val="007C380E"/>
    <w:rsid w:val="007D3C4A"/>
    <w:rsid w:val="007E2235"/>
    <w:rsid w:val="00801108"/>
    <w:rsid w:val="00804485"/>
    <w:rsid w:val="008116D4"/>
    <w:rsid w:val="0083794F"/>
    <w:rsid w:val="00872DC3"/>
    <w:rsid w:val="00876D67"/>
    <w:rsid w:val="00880D0E"/>
    <w:rsid w:val="0089778A"/>
    <w:rsid w:val="008C308A"/>
    <w:rsid w:val="008C54E9"/>
    <w:rsid w:val="008E7741"/>
    <w:rsid w:val="008F33C6"/>
    <w:rsid w:val="008F71CD"/>
    <w:rsid w:val="008F7C28"/>
    <w:rsid w:val="00913FD5"/>
    <w:rsid w:val="0092648E"/>
    <w:rsid w:val="00941DA0"/>
    <w:rsid w:val="00956284"/>
    <w:rsid w:val="00957F06"/>
    <w:rsid w:val="009625D6"/>
    <w:rsid w:val="009805F9"/>
    <w:rsid w:val="00981814"/>
    <w:rsid w:val="009838D5"/>
    <w:rsid w:val="009912A7"/>
    <w:rsid w:val="009A5725"/>
    <w:rsid w:val="009B420D"/>
    <w:rsid w:val="009D0E7D"/>
    <w:rsid w:val="009E7CCD"/>
    <w:rsid w:val="009F2AA1"/>
    <w:rsid w:val="00A070FD"/>
    <w:rsid w:val="00A27383"/>
    <w:rsid w:val="00A31F92"/>
    <w:rsid w:val="00A551AE"/>
    <w:rsid w:val="00A832BC"/>
    <w:rsid w:val="00A86DCE"/>
    <w:rsid w:val="00A9365C"/>
    <w:rsid w:val="00AA7624"/>
    <w:rsid w:val="00AC788F"/>
    <w:rsid w:val="00AE64B0"/>
    <w:rsid w:val="00B0130B"/>
    <w:rsid w:val="00B077F9"/>
    <w:rsid w:val="00B16769"/>
    <w:rsid w:val="00B22AB6"/>
    <w:rsid w:val="00B510A3"/>
    <w:rsid w:val="00B72FBD"/>
    <w:rsid w:val="00BB566A"/>
    <w:rsid w:val="00BC65C2"/>
    <w:rsid w:val="00BD2E58"/>
    <w:rsid w:val="00BD5BF5"/>
    <w:rsid w:val="00BF3632"/>
    <w:rsid w:val="00C10DD8"/>
    <w:rsid w:val="00C41723"/>
    <w:rsid w:val="00C43941"/>
    <w:rsid w:val="00C43F52"/>
    <w:rsid w:val="00C54C7B"/>
    <w:rsid w:val="00C77733"/>
    <w:rsid w:val="00C87C3A"/>
    <w:rsid w:val="00C91341"/>
    <w:rsid w:val="00CA5816"/>
    <w:rsid w:val="00CD2E73"/>
    <w:rsid w:val="00CF2443"/>
    <w:rsid w:val="00D177D9"/>
    <w:rsid w:val="00D2757F"/>
    <w:rsid w:val="00D4185C"/>
    <w:rsid w:val="00D55FA4"/>
    <w:rsid w:val="00D7699E"/>
    <w:rsid w:val="00D831DF"/>
    <w:rsid w:val="00D9364C"/>
    <w:rsid w:val="00DB0FB7"/>
    <w:rsid w:val="00DC0842"/>
    <w:rsid w:val="00DE6F2B"/>
    <w:rsid w:val="00E24066"/>
    <w:rsid w:val="00E30CC4"/>
    <w:rsid w:val="00E32D91"/>
    <w:rsid w:val="00E42975"/>
    <w:rsid w:val="00E52ECE"/>
    <w:rsid w:val="00E65550"/>
    <w:rsid w:val="00E71C14"/>
    <w:rsid w:val="00E94CE8"/>
    <w:rsid w:val="00E96743"/>
    <w:rsid w:val="00EB0CB4"/>
    <w:rsid w:val="00EB4340"/>
    <w:rsid w:val="00EE2C0F"/>
    <w:rsid w:val="00EE5E5A"/>
    <w:rsid w:val="00EE682B"/>
    <w:rsid w:val="00F03B1F"/>
    <w:rsid w:val="00F062D9"/>
    <w:rsid w:val="00F129F3"/>
    <w:rsid w:val="00F308CF"/>
    <w:rsid w:val="00F679A5"/>
    <w:rsid w:val="00F7622E"/>
    <w:rsid w:val="00F93EEA"/>
    <w:rsid w:val="00FD01F7"/>
    <w:rsid w:val="00FF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885268"/>
  <w15:docId w15:val="{E2CC9B01-90CF-6746-AE2A-37A3AF7B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B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B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40B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40B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0B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0B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0B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40B9D"/>
    <w:pPr>
      <w:spacing w:after="80"/>
      <w:contextualSpacing/>
    </w:pPr>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356B65"/>
    <w:rPr>
      <w:sz w:val="22"/>
      <w:szCs w:val="20"/>
    </w:rPr>
  </w:style>
  <w:style w:type="character" w:customStyle="1" w:styleId="FootnoteTextChar">
    <w:name w:val="Footnote Text Char"/>
    <w:basedOn w:val="DefaultParagraphFont"/>
    <w:link w:val="FootnoteText"/>
    <w:uiPriority w:val="99"/>
    <w:semiHidden/>
    <w:rsid w:val="00356B65"/>
    <w:rPr>
      <w:sz w:val="22"/>
      <w:szCs w:val="20"/>
    </w:rPr>
  </w:style>
  <w:style w:type="character" w:styleId="FootnoteReference">
    <w:name w:val="footnote reference"/>
    <w:basedOn w:val="DefaultParagraphFont"/>
    <w:uiPriority w:val="99"/>
    <w:semiHidden/>
    <w:unhideWhenUsed/>
    <w:rsid w:val="00356B65"/>
    <w:rPr>
      <w:vertAlign w:val="superscript"/>
    </w:rPr>
  </w:style>
  <w:style w:type="paragraph" w:styleId="Bibliography">
    <w:name w:val="Bibliography"/>
    <w:basedOn w:val="Normal"/>
    <w:next w:val="Normal"/>
    <w:uiPriority w:val="37"/>
    <w:unhideWhenUsed/>
    <w:rsid w:val="008C3205"/>
    <w:pPr>
      <w:spacing w:line="480" w:lineRule="auto"/>
      <w:ind w:left="720" w:hanging="720"/>
    </w:pPr>
  </w:style>
  <w:style w:type="paragraph" w:styleId="ListParagraph">
    <w:name w:val="List Paragraph"/>
    <w:basedOn w:val="Normal"/>
    <w:uiPriority w:val="34"/>
    <w:qFormat/>
    <w:rsid w:val="00ED0E94"/>
    <w:pPr>
      <w:ind w:left="720"/>
      <w:contextualSpacing/>
    </w:pPr>
  </w:style>
  <w:style w:type="character" w:customStyle="1" w:styleId="Heading1Char">
    <w:name w:val="Heading 1 Char"/>
    <w:basedOn w:val="DefaultParagraphFont"/>
    <w:link w:val="Heading1"/>
    <w:uiPriority w:val="9"/>
    <w:rsid w:val="00640B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B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B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B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40B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40B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0B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0B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0B9D"/>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640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640B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0B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0B9D"/>
    <w:rPr>
      <w:i/>
      <w:iCs/>
      <w:color w:val="404040" w:themeColor="text1" w:themeTint="BF"/>
    </w:rPr>
  </w:style>
  <w:style w:type="character" w:styleId="IntenseEmphasis">
    <w:name w:val="Intense Emphasis"/>
    <w:basedOn w:val="DefaultParagraphFont"/>
    <w:uiPriority w:val="21"/>
    <w:qFormat/>
    <w:rsid w:val="00640B9D"/>
    <w:rPr>
      <w:i/>
      <w:iCs/>
      <w:color w:val="0F4761" w:themeColor="accent1" w:themeShade="BF"/>
    </w:rPr>
  </w:style>
  <w:style w:type="paragraph" w:styleId="IntenseQuote">
    <w:name w:val="Intense Quote"/>
    <w:basedOn w:val="Normal"/>
    <w:next w:val="Normal"/>
    <w:link w:val="IntenseQuoteChar"/>
    <w:uiPriority w:val="30"/>
    <w:qFormat/>
    <w:rsid w:val="00640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B9D"/>
    <w:rPr>
      <w:i/>
      <w:iCs/>
      <w:color w:val="0F4761" w:themeColor="accent1" w:themeShade="BF"/>
    </w:rPr>
  </w:style>
  <w:style w:type="character" w:styleId="IntenseReference">
    <w:name w:val="Intense Reference"/>
    <w:basedOn w:val="DefaultParagraphFont"/>
    <w:uiPriority w:val="32"/>
    <w:qFormat/>
    <w:rsid w:val="00640B9D"/>
    <w:rPr>
      <w:b/>
      <w:bCs/>
      <w:smallCaps/>
      <w:color w:val="0F4761" w:themeColor="accent1" w:themeShade="BF"/>
      <w:spacing w:val="5"/>
    </w:rPr>
  </w:style>
  <w:style w:type="character" w:styleId="CommentReference">
    <w:name w:val="annotation reference"/>
    <w:basedOn w:val="DefaultParagraphFont"/>
    <w:uiPriority w:val="99"/>
    <w:semiHidden/>
    <w:unhideWhenUsed/>
    <w:rsid w:val="000E6AB6"/>
    <w:rPr>
      <w:sz w:val="16"/>
      <w:szCs w:val="16"/>
    </w:rPr>
  </w:style>
  <w:style w:type="paragraph" w:styleId="CommentText">
    <w:name w:val="annotation text"/>
    <w:basedOn w:val="Normal"/>
    <w:link w:val="CommentTextChar"/>
    <w:uiPriority w:val="99"/>
    <w:semiHidden/>
    <w:unhideWhenUsed/>
    <w:rsid w:val="000E6AB6"/>
    <w:rPr>
      <w:sz w:val="20"/>
      <w:szCs w:val="20"/>
    </w:rPr>
  </w:style>
  <w:style w:type="character" w:customStyle="1" w:styleId="CommentTextChar">
    <w:name w:val="Comment Text Char"/>
    <w:basedOn w:val="DefaultParagraphFont"/>
    <w:link w:val="CommentText"/>
    <w:uiPriority w:val="99"/>
    <w:semiHidden/>
    <w:rsid w:val="000E6AB6"/>
    <w:rPr>
      <w:sz w:val="20"/>
      <w:szCs w:val="20"/>
    </w:rPr>
  </w:style>
  <w:style w:type="paragraph" w:styleId="CommentSubject">
    <w:name w:val="annotation subject"/>
    <w:basedOn w:val="CommentText"/>
    <w:next w:val="CommentText"/>
    <w:link w:val="CommentSubjectChar"/>
    <w:uiPriority w:val="99"/>
    <w:semiHidden/>
    <w:unhideWhenUsed/>
    <w:rsid w:val="000E6AB6"/>
    <w:rPr>
      <w:b/>
      <w:bCs/>
    </w:rPr>
  </w:style>
  <w:style w:type="character" w:customStyle="1" w:styleId="CommentSubjectChar">
    <w:name w:val="Comment Subject Char"/>
    <w:basedOn w:val="CommentTextChar"/>
    <w:link w:val="CommentSubject"/>
    <w:uiPriority w:val="99"/>
    <w:semiHidden/>
    <w:rsid w:val="000E6AB6"/>
    <w:rPr>
      <w:b/>
      <w:bCs/>
      <w:sz w:val="20"/>
      <w:szCs w:val="20"/>
    </w:rPr>
  </w:style>
  <w:style w:type="character" w:customStyle="1" w:styleId="text">
    <w:name w:val="text"/>
    <w:basedOn w:val="DefaultParagraphFont"/>
    <w:rsid w:val="004A1692"/>
  </w:style>
  <w:style w:type="paragraph" w:styleId="NormalWeb">
    <w:name w:val="Normal (Web)"/>
    <w:basedOn w:val="Normal"/>
    <w:uiPriority w:val="99"/>
    <w:semiHidden/>
    <w:unhideWhenUsed/>
    <w:rsid w:val="005A240F"/>
    <w:rPr>
      <w:rFonts w:ascii="Times New Roman" w:hAnsi="Times New Roman" w:cs="Times New Roman"/>
    </w:rPr>
  </w:style>
  <w:style w:type="character" w:styleId="Hyperlink">
    <w:name w:val="Hyperlink"/>
    <w:basedOn w:val="DefaultParagraphFont"/>
    <w:uiPriority w:val="99"/>
    <w:unhideWhenUsed/>
    <w:rsid w:val="00282921"/>
    <w:rPr>
      <w:color w:val="467886" w:themeColor="hyperlink"/>
      <w:u w:val="single"/>
    </w:rPr>
  </w:style>
  <w:style w:type="character" w:styleId="UnresolvedMention">
    <w:name w:val="Unresolved Mention"/>
    <w:basedOn w:val="DefaultParagraphFont"/>
    <w:uiPriority w:val="99"/>
    <w:semiHidden/>
    <w:unhideWhenUsed/>
    <w:rsid w:val="00282921"/>
    <w:rPr>
      <w:color w:val="605E5C"/>
      <w:shd w:val="clear" w:color="auto" w:fill="E1DFDD"/>
    </w:rPr>
  </w:style>
  <w:style w:type="paragraph" w:styleId="Header">
    <w:name w:val="header"/>
    <w:basedOn w:val="Normal"/>
    <w:link w:val="HeaderChar"/>
    <w:uiPriority w:val="99"/>
    <w:unhideWhenUsed/>
    <w:rsid w:val="002D452D"/>
    <w:pPr>
      <w:tabs>
        <w:tab w:val="center" w:pos="4680"/>
        <w:tab w:val="right" w:pos="9360"/>
      </w:tabs>
    </w:pPr>
  </w:style>
  <w:style w:type="character" w:customStyle="1" w:styleId="HeaderChar">
    <w:name w:val="Header Char"/>
    <w:basedOn w:val="DefaultParagraphFont"/>
    <w:link w:val="Header"/>
    <w:uiPriority w:val="99"/>
    <w:rsid w:val="002D452D"/>
  </w:style>
  <w:style w:type="paragraph" w:styleId="Footer">
    <w:name w:val="footer"/>
    <w:basedOn w:val="Normal"/>
    <w:link w:val="FooterChar"/>
    <w:uiPriority w:val="99"/>
    <w:unhideWhenUsed/>
    <w:rsid w:val="002D452D"/>
    <w:pPr>
      <w:tabs>
        <w:tab w:val="center" w:pos="4680"/>
        <w:tab w:val="right" w:pos="9360"/>
      </w:tabs>
    </w:pPr>
  </w:style>
  <w:style w:type="character" w:customStyle="1" w:styleId="FooterChar">
    <w:name w:val="Footer Char"/>
    <w:basedOn w:val="DefaultParagraphFont"/>
    <w:link w:val="Footer"/>
    <w:uiPriority w:val="99"/>
    <w:rsid w:val="002D4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1999">
      <w:bodyDiv w:val="1"/>
      <w:marLeft w:val="0"/>
      <w:marRight w:val="0"/>
      <w:marTop w:val="0"/>
      <w:marBottom w:val="0"/>
      <w:divBdr>
        <w:top w:val="none" w:sz="0" w:space="0" w:color="auto"/>
        <w:left w:val="none" w:sz="0" w:space="0" w:color="auto"/>
        <w:bottom w:val="none" w:sz="0" w:space="0" w:color="auto"/>
        <w:right w:val="none" w:sz="0" w:space="0" w:color="auto"/>
      </w:divBdr>
      <w:divsChild>
        <w:div w:id="2052029232">
          <w:marLeft w:val="480"/>
          <w:marRight w:val="0"/>
          <w:marTop w:val="0"/>
          <w:marBottom w:val="0"/>
          <w:divBdr>
            <w:top w:val="none" w:sz="0" w:space="0" w:color="auto"/>
            <w:left w:val="none" w:sz="0" w:space="0" w:color="auto"/>
            <w:bottom w:val="none" w:sz="0" w:space="0" w:color="auto"/>
            <w:right w:val="none" w:sz="0" w:space="0" w:color="auto"/>
          </w:divBdr>
          <w:divsChild>
            <w:div w:id="13848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036422">
      <w:bodyDiv w:val="1"/>
      <w:marLeft w:val="0"/>
      <w:marRight w:val="0"/>
      <w:marTop w:val="0"/>
      <w:marBottom w:val="0"/>
      <w:divBdr>
        <w:top w:val="none" w:sz="0" w:space="0" w:color="auto"/>
        <w:left w:val="none" w:sz="0" w:space="0" w:color="auto"/>
        <w:bottom w:val="none" w:sz="0" w:space="0" w:color="auto"/>
        <w:right w:val="none" w:sz="0" w:space="0" w:color="auto"/>
      </w:divBdr>
      <w:divsChild>
        <w:div w:id="1690833318">
          <w:marLeft w:val="480"/>
          <w:marRight w:val="0"/>
          <w:marTop w:val="0"/>
          <w:marBottom w:val="0"/>
          <w:divBdr>
            <w:top w:val="none" w:sz="0" w:space="0" w:color="auto"/>
            <w:left w:val="none" w:sz="0" w:space="0" w:color="auto"/>
            <w:bottom w:val="none" w:sz="0" w:space="0" w:color="auto"/>
            <w:right w:val="none" w:sz="0" w:space="0" w:color="auto"/>
          </w:divBdr>
          <w:divsChild>
            <w:div w:id="8977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96460">
      <w:bodyDiv w:val="1"/>
      <w:marLeft w:val="0"/>
      <w:marRight w:val="0"/>
      <w:marTop w:val="0"/>
      <w:marBottom w:val="0"/>
      <w:divBdr>
        <w:top w:val="none" w:sz="0" w:space="0" w:color="auto"/>
        <w:left w:val="none" w:sz="0" w:space="0" w:color="auto"/>
        <w:bottom w:val="none" w:sz="0" w:space="0" w:color="auto"/>
        <w:right w:val="none" w:sz="0" w:space="0" w:color="auto"/>
      </w:divBdr>
      <w:divsChild>
        <w:div w:id="982778264">
          <w:marLeft w:val="480"/>
          <w:marRight w:val="0"/>
          <w:marTop w:val="0"/>
          <w:marBottom w:val="0"/>
          <w:divBdr>
            <w:top w:val="none" w:sz="0" w:space="0" w:color="auto"/>
            <w:left w:val="none" w:sz="0" w:space="0" w:color="auto"/>
            <w:bottom w:val="none" w:sz="0" w:space="0" w:color="auto"/>
            <w:right w:val="none" w:sz="0" w:space="0" w:color="auto"/>
          </w:divBdr>
          <w:divsChild>
            <w:div w:id="12377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30392">
      <w:bodyDiv w:val="1"/>
      <w:marLeft w:val="0"/>
      <w:marRight w:val="0"/>
      <w:marTop w:val="0"/>
      <w:marBottom w:val="0"/>
      <w:divBdr>
        <w:top w:val="none" w:sz="0" w:space="0" w:color="auto"/>
        <w:left w:val="none" w:sz="0" w:space="0" w:color="auto"/>
        <w:bottom w:val="none" w:sz="0" w:space="0" w:color="auto"/>
        <w:right w:val="none" w:sz="0" w:space="0" w:color="auto"/>
      </w:divBdr>
      <w:divsChild>
        <w:div w:id="1532693092">
          <w:marLeft w:val="480"/>
          <w:marRight w:val="0"/>
          <w:marTop w:val="0"/>
          <w:marBottom w:val="0"/>
          <w:divBdr>
            <w:top w:val="none" w:sz="0" w:space="0" w:color="auto"/>
            <w:left w:val="none" w:sz="0" w:space="0" w:color="auto"/>
            <w:bottom w:val="none" w:sz="0" w:space="0" w:color="auto"/>
            <w:right w:val="none" w:sz="0" w:space="0" w:color="auto"/>
          </w:divBdr>
          <w:divsChild>
            <w:div w:id="67037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2553">
      <w:bodyDiv w:val="1"/>
      <w:marLeft w:val="0"/>
      <w:marRight w:val="0"/>
      <w:marTop w:val="0"/>
      <w:marBottom w:val="0"/>
      <w:divBdr>
        <w:top w:val="none" w:sz="0" w:space="0" w:color="auto"/>
        <w:left w:val="none" w:sz="0" w:space="0" w:color="auto"/>
        <w:bottom w:val="none" w:sz="0" w:space="0" w:color="auto"/>
        <w:right w:val="none" w:sz="0" w:space="0" w:color="auto"/>
      </w:divBdr>
      <w:divsChild>
        <w:div w:id="475878260">
          <w:marLeft w:val="480"/>
          <w:marRight w:val="0"/>
          <w:marTop w:val="0"/>
          <w:marBottom w:val="0"/>
          <w:divBdr>
            <w:top w:val="none" w:sz="0" w:space="0" w:color="auto"/>
            <w:left w:val="none" w:sz="0" w:space="0" w:color="auto"/>
            <w:bottom w:val="none" w:sz="0" w:space="0" w:color="auto"/>
            <w:right w:val="none" w:sz="0" w:space="0" w:color="auto"/>
          </w:divBdr>
          <w:divsChild>
            <w:div w:id="15344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98024">
      <w:bodyDiv w:val="1"/>
      <w:marLeft w:val="0"/>
      <w:marRight w:val="0"/>
      <w:marTop w:val="0"/>
      <w:marBottom w:val="0"/>
      <w:divBdr>
        <w:top w:val="none" w:sz="0" w:space="0" w:color="auto"/>
        <w:left w:val="none" w:sz="0" w:space="0" w:color="auto"/>
        <w:bottom w:val="none" w:sz="0" w:space="0" w:color="auto"/>
        <w:right w:val="none" w:sz="0" w:space="0" w:color="auto"/>
      </w:divBdr>
      <w:divsChild>
        <w:div w:id="1415124652">
          <w:marLeft w:val="480"/>
          <w:marRight w:val="0"/>
          <w:marTop w:val="0"/>
          <w:marBottom w:val="0"/>
          <w:divBdr>
            <w:top w:val="none" w:sz="0" w:space="0" w:color="auto"/>
            <w:left w:val="none" w:sz="0" w:space="0" w:color="auto"/>
            <w:bottom w:val="none" w:sz="0" w:space="0" w:color="auto"/>
            <w:right w:val="none" w:sz="0" w:space="0" w:color="auto"/>
          </w:divBdr>
          <w:divsChild>
            <w:div w:id="76102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037598">
      <w:bodyDiv w:val="1"/>
      <w:marLeft w:val="0"/>
      <w:marRight w:val="0"/>
      <w:marTop w:val="0"/>
      <w:marBottom w:val="0"/>
      <w:divBdr>
        <w:top w:val="none" w:sz="0" w:space="0" w:color="auto"/>
        <w:left w:val="none" w:sz="0" w:space="0" w:color="auto"/>
        <w:bottom w:val="none" w:sz="0" w:space="0" w:color="auto"/>
        <w:right w:val="none" w:sz="0" w:space="0" w:color="auto"/>
      </w:divBdr>
      <w:divsChild>
        <w:div w:id="1863398052">
          <w:marLeft w:val="480"/>
          <w:marRight w:val="0"/>
          <w:marTop w:val="0"/>
          <w:marBottom w:val="0"/>
          <w:divBdr>
            <w:top w:val="none" w:sz="0" w:space="0" w:color="auto"/>
            <w:left w:val="none" w:sz="0" w:space="0" w:color="auto"/>
            <w:bottom w:val="none" w:sz="0" w:space="0" w:color="auto"/>
            <w:right w:val="none" w:sz="0" w:space="0" w:color="auto"/>
          </w:divBdr>
          <w:divsChild>
            <w:div w:id="6128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1881">
      <w:bodyDiv w:val="1"/>
      <w:marLeft w:val="0"/>
      <w:marRight w:val="0"/>
      <w:marTop w:val="0"/>
      <w:marBottom w:val="0"/>
      <w:divBdr>
        <w:top w:val="none" w:sz="0" w:space="0" w:color="auto"/>
        <w:left w:val="none" w:sz="0" w:space="0" w:color="auto"/>
        <w:bottom w:val="none" w:sz="0" w:space="0" w:color="auto"/>
        <w:right w:val="none" w:sz="0" w:space="0" w:color="auto"/>
      </w:divBdr>
      <w:divsChild>
        <w:div w:id="1789733853">
          <w:marLeft w:val="480"/>
          <w:marRight w:val="0"/>
          <w:marTop w:val="0"/>
          <w:marBottom w:val="0"/>
          <w:divBdr>
            <w:top w:val="none" w:sz="0" w:space="0" w:color="auto"/>
            <w:left w:val="none" w:sz="0" w:space="0" w:color="auto"/>
            <w:bottom w:val="none" w:sz="0" w:space="0" w:color="auto"/>
            <w:right w:val="none" w:sz="0" w:space="0" w:color="auto"/>
          </w:divBdr>
          <w:divsChild>
            <w:div w:id="5240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26289">
      <w:bodyDiv w:val="1"/>
      <w:marLeft w:val="0"/>
      <w:marRight w:val="0"/>
      <w:marTop w:val="0"/>
      <w:marBottom w:val="0"/>
      <w:divBdr>
        <w:top w:val="none" w:sz="0" w:space="0" w:color="auto"/>
        <w:left w:val="none" w:sz="0" w:space="0" w:color="auto"/>
        <w:bottom w:val="none" w:sz="0" w:space="0" w:color="auto"/>
        <w:right w:val="none" w:sz="0" w:space="0" w:color="auto"/>
      </w:divBdr>
      <w:divsChild>
        <w:div w:id="128328726">
          <w:marLeft w:val="480"/>
          <w:marRight w:val="0"/>
          <w:marTop w:val="0"/>
          <w:marBottom w:val="0"/>
          <w:divBdr>
            <w:top w:val="none" w:sz="0" w:space="0" w:color="auto"/>
            <w:left w:val="none" w:sz="0" w:space="0" w:color="auto"/>
            <w:bottom w:val="none" w:sz="0" w:space="0" w:color="auto"/>
            <w:right w:val="none" w:sz="0" w:space="0" w:color="auto"/>
          </w:divBdr>
          <w:divsChild>
            <w:div w:id="14747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20010">
      <w:bodyDiv w:val="1"/>
      <w:marLeft w:val="0"/>
      <w:marRight w:val="0"/>
      <w:marTop w:val="0"/>
      <w:marBottom w:val="0"/>
      <w:divBdr>
        <w:top w:val="none" w:sz="0" w:space="0" w:color="auto"/>
        <w:left w:val="none" w:sz="0" w:space="0" w:color="auto"/>
        <w:bottom w:val="none" w:sz="0" w:space="0" w:color="auto"/>
        <w:right w:val="none" w:sz="0" w:space="0" w:color="auto"/>
      </w:divBdr>
      <w:divsChild>
        <w:div w:id="154760019">
          <w:marLeft w:val="480"/>
          <w:marRight w:val="0"/>
          <w:marTop w:val="0"/>
          <w:marBottom w:val="0"/>
          <w:divBdr>
            <w:top w:val="none" w:sz="0" w:space="0" w:color="auto"/>
            <w:left w:val="none" w:sz="0" w:space="0" w:color="auto"/>
            <w:bottom w:val="none" w:sz="0" w:space="0" w:color="auto"/>
            <w:right w:val="none" w:sz="0" w:space="0" w:color="auto"/>
          </w:divBdr>
          <w:divsChild>
            <w:div w:id="121342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319-62881-3_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3389/fcimb.2012.00106"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371/journal.pbio.1001096"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hyperlink" Target="https://doi.org/10.1353/sub.2025.a959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byQvhxsmRIEbiPNiSB+bZvalyQ==">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8</Pages>
  <Words>3727</Words>
  <Characters>21244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Basile, Jonathan</dc:creator>
  <cp:lastModifiedBy>Jonathan Basile</cp:lastModifiedBy>
  <cp:revision>178</cp:revision>
  <dcterms:created xsi:type="dcterms:W3CDTF">2024-07-19T17:45:00Z</dcterms:created>
  <dcterms:modified xsi:type="dcterms:W3CDTF">2025-05-15T03:03:00Z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id="MS9M4kIC"/&gt;&lt;style id="http://www.zotero.org/styles/modern-language-association-8th-edition" locale="en-US" hasBibliography="1" bibliographyStyleHasBeenSet="1"/&gt;&lt;prefs&gt;&lt;pref name="fieldType" value</vt:lpwstr>
  </property>
  <property fmtid="{D5CDD505-2E9C-101B-9397-08002B2CF9AE}" pid="3" name="ZOTERO_PREF_2">
    <vt:lpwstr>="Field"/&gt;&lt;/prefs&gt;&lt;/data&gt;</vt:lpwstr>
  </property>
</Properties>
</file>